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81" w:rsidRPr="006C6BF7" w:rsidRDefault="000F4581" w:rsidP="00F00ACC">
      <w:pPr>
        <w:keepNext/>
        <w:widowControl w:val="0"/>
        <w:spacing w:after="0"/>
        <w:jc w:val="center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6C6BF7">
        <w:rPr>
          <w:rFonts w:ascii="Times New Roman" w:eastAsia="Times New Roman" w:hAnsi="Times New Roman"/>
          <w:b/>
          <w:bCs/>
          <w:sz w:val="28"/>
          <w:szCs w:val="28"/>
        </w:rPr>
        <w:t>KARTA KURSU</w:t>
      </w:r>
    </w:p>
    <w:p w:rsidR="000F4581" w:rsidRPr="000100F2" w:rsidRDefault="000F4581" w:rsidP="006C6BF7">
      <w:pPr>
        <w:keepNext/>
        <w:widowControl w:val="0"/>
        <w:spacing w:after="0"/>
        <w:rPr>
          <w:rFonts w:ascii="Times New Roman" w:eastAsia="Times New Roman" w:hAnsi="Times New Roman"/>
        </w:rPr>
      </w:pPr>
      <w:r w:rsidRPr="000100F2">
        <w:rPr>
          <w:rFonts w:ascii="Times New Roman" w:eastAsia="Times New Roman" w:hAnsi="Times New Roman"/>
          <w:b/>
          <w:bCs/>
        </w:rPr>
        <w:tab/>
      </w:r>
      <w:r w:rsidRPr="000100F2">
        <w:rPr>
          <w:rFonts w:ascii="Times New Roman" w:eastAsia="Times New Roman" w:hAnsi="Times New Roman"/>
          <w:b/>
          <w:bCs/>
        </w:rPr>
        <w:tab/>
      </w:r>
      <w:r w:rsidRPr="000100F2">
        <w:rPr>
          <w:rFonts w:ascii="Times New Roman" w:eastAsia="Times New Roman" w:hAnsi="Times New Roman"/>
          <w:b/>
          <w:bCs/>
        </w:rPr>
        <w:tab/>
      </w:r>
      <w:r w:rsidRPr="000100F2">
        <w:rPr>
          <w:rFonts w:ascii="Times New Roman" w:eastAsia="Times New Roman" w:hAnsi="Times New Roman"/>
          <w:b/>
          <w:bCs/>
        </w:rPr>
        <w:tab/>
      </w:r>
    </w:p>
    <w:p w:rsidR="003D43F6" w:rsidRPr="003D43F6" w:rsidRDefault="003D43F6" w:rsidP="003D43F6">
      <w:pPr>
        <w:jc w:val="center"/>
        <w:rPr>
          <w:rFonts w:ascii="Arial" w:hAnsi="Arial" w:cs="Arial"/>
          <w:b/>
          <w:sz w:val="36"/>
          <w:szCs w:val="36"/>
        </w:rPr>
      </w:pPr>
      <w:r w:rsidRPr="003D43F6">
        <w:rPr>
          <w:rFonts w:ascii="Arial" w:hAnsi="Arial" w:cs="Arial"/>
          <w:b/>
          <w:sz w:val="36"/>
          <w:szCs w:val="36"/>
        </w:rPr>
        <w:t>Socjologia biznesu i zarządzania</w:t>
      </w:r>
    </w:p>
    <w:p w:rsidR="000F4581" w:rsidRPr="000100F2" w:rsidRDefault="000F4581" w:rsidP="00F00ACC">
      <w:pPr>
        <w:widowControl w:val="0"/>
        <w:spacing w:after="0"/>
        <w:jc w:val="center"/>
        <w:rPr>
          <w:rFonts w:ascii="Times New Roman" w:eastAsia="Times New Roman" w:hAnsi="Times New Roman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0F4581" w:rsidRPr="000100F2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widowControl w:val="0"/>
              <w:spacing w:before="57" w:after="57"/>
              <w:jc w:val="center"/>
              <w:rPr>
                <w:rFonts w:ascii="Times New Roman" w:eastAsia="Times New Roman" w:hAnsi="Times New Roman"/>
                <w:b/>
              </w:rPr>
            </w:pPr>
            <w:r w:rsidRPr="000100F2">
              <w:rPr>
                <w:rFonts w:ascii="Times New Roman" w:eastAsia="Times New Roman" w:hAnsi="Times New Roman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F4581" w:rsidRPr="000100F2" w:rsidRDefault="00C54C39" w:rsidP="00F00ACC">
            <w:pPr>
              <w:widowControl w:val="0"/>
              <w:suppressLineNumbers/>
              <w:autoSpaceDE w:val="0"/>
              <w:spacing w:before="60" w:after="60"/>
              <w:jc w:val="center"/>
              <w:rPr>
                <w:rFonts w:ascii="Times New Roman" w:eastAsia="Times New Roman" w:hAnsi="Times New Roman"/>
                <w:b/>
              </w:rPr>
            </w:pPr>
            <w:r w:rsidRPr="000100F2">
              <w:rPr>
                <w:rFonts w:ascii="Times New Roman" w:eastAsia="Times New Roman" w:hAnsi="Times New Roman"/>
                <w:b/>
              </w:rPr>
              <w:t xml:space="preserve">Public Relations </w:t>
            </w:r>
          </w:p>
        </w:tc>
      </w:tr>
      <w:tr w:rsidR="000F4581" w:rsidRPr="000100F2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widowControl w:val="0"/>
              <w:spacing w:before="57" w:after="57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100F2">
              <w:rPr>
                <w:rFonts w:ascii="Times New Roman" w:eastAsia="Times New Roman" w:hAnsi="Times New Roman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F4581" w:rsidRPr="000100F2" w:rsidRDefault="00A05CF4" w:rsidP="00F00ACC">
            <w:pPr>
              <w:widowControl w:val="0"/>
              <w:suppressLineNumbers/>
              <w:autoSpaceDE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100F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Public Relations </w:t>
            </w:r>
          </w:p>
        </w:tc>
      </w:tr>
    </w:tbl>
    <w:p w:rsidR="003D43F6" w:rsidRDefault="003D43F6" w:rsidP="00F00ACC">
      <w:pPr>
        <w:widowControl w:val="0"/>
        <w:autoSpaceDE w:val="0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3D43F6" w:rsidRPr="00E05287" w:rsidTr="00F30227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3D43F6" w:rsidRPr="00C57903" w:rsidRDefault="008B5473" w:rsidP="00C57903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473">
              <w:rPr>
                <w:rFonts w:ascii="Times New Roman" w:eastAsia="Times New Roman" w:hAnsi="Times New Roman"/>
              </w:rPr>
              <w:t>dr hab. Aldona GUZIK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3D43F6" w:rsidRPr="00E05287" w:rsidTr="00F30227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D43F6" w:rsidRPr="00E05287" w:rsidRDefault="008B5473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473">
              <w:rPr>
                <w:rFonts w:ascii="Times New Roman" w:eastAsia="Times New Roman" w:hAnsi="Times New Roman"/>
              </w:rPr>
              <w:t>dr hab. Aldona GUZIK</w:t>
            </w:r>
          </w:p>
        </w:tc>
      </w:tr>
      <w:tr w:rsidR="003D43F6" w:rsidRPr="00E05287" w:rsidTr="00F30227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D43F6" w:rsidRPr="00E05287" w:rsidTr="00F30227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3D43F6" w:rsidRPr="00E05287" w:rsidRDefault="003D43F6" w:rsidP="00F30227">
            <w:pPr>
              <w:widowControl w:val="0"/>
              <w:suppressLineNumber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D43F6" w:rsidRPr="000100F2" w:rsidRDefault="003D43F6" w:rsidP="00F00ACC">
      <w:pPr>
        <w:widowControl w:val="0"/>
        <w:autoSpaceDE w:val="0"/>
        <w:spacing w:after="0"/>
        <w:jc w:val="center"/>
        <w:rPr>
          <w:rFonts w:ascii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 w:rsidRPr="000100F2">
        <w:rPr>
          <w:rFonts w:ascii="Times New Roman" w:eastAsia="Times New Roman" w:hAnsi="Times New Roman"/>
        </w:rPr>
        <w:t>Opis kursu (cele kształcenia)</w:t>
      </w: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0F4581" w:rsidRPr="000100F2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F4581" w:rsidRPr="000100F2" w:rsidRDefault="000F4581" w:rsidP="006C6BF7">
            <w:pPr>
              <w:widowControl w:val="0"/>
              <w:autoSpaceDE w:val="0"/>
              <w:spacing w:before="120" w:after="120" w:line="360" w:lineRule="auto"/>
              <w:ind w:left="113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 xml:space="preserve">Celem kursu </w:t>
            </w:r>
            <w:r w:rsidR="00F00ACC" w:rsidRPr="000100F2">
              <w:rPr>
                <w:rFonts w:ascii="Times New Roman" w:eastAsia="Times New Roman" w:hAnsi="Times New Roman"/>
              </w:rPr>
              <w:t>jest wprowadzenie</w:t>
            </w:r>
            <w:r w:rsidRPr="000100F2">
              <w:rPr>
                <w:rFonts w:ascii="Times New Roman" w:eastAsia="Times New Roman" w:hAnsi="Times New Roman"/>
              </w:rPr>
              <w:t xml:space="preserve"> studentów w podstawowe zagadnienia </w:t>
            </w:r>
            <w:r w:rsidR="00C54C39" w:rsidRPr="000100F2">
              <w:rPr>
                <w:rFonts w:ascii="Times New Roman" w:eastAsia="Times New Roman" w:hAnsi="Times New Roman"/>
              </w:rPr>
              <w:t>public relations</w:t>
            </w:r>
            <w:r w:rsidRPr="000100F2">
              <w:rPr>
                <w:rFonts w:ascii="Times New Roman" w:eastAsia="Times New Roman" w:hAnsi="Times New Roman"/>
              </w:rPr>
              <w:t xml:space="preserve">; omówienie podstawowych </w:t>
            </w:r>
            <w:r w:rsidR="00E66F4A" w:rsidRPr="000100F2">
              <w:rPr>
                <w:rFonts w:ascii="Times New Roman" w:eastAsia="Times New Roman" w:hAnsi="Times New Roman"/>
              </w:rPr>
              <w:t>pojęćteoretycznych</w:t>
            </w:r>
            <w:r w:rsidR="00014905" w:rsidRPr="000100F2">
              <w:rPr>
                <w:rFonts w:ascii="Times New Roman" w:eastAsia="Times New Roman" w:hAnsi="Times New Roman"/>
              </w:rPr>
              <w:t xml:space="preserve"> z zakresu </w:t>
            </w:r>
            <w:r w:rsidR="00E66F4A" w:rsidRPr="000100F2">
              <w:rPr>
                <w:rFonts w:ascii="Times New Roman" w:eastAsia="Times New Roman" w:hAnsi="Times New Roman"/>
              </w:rPr>
              <w:t>wiedzy</w:t>
            </w:r>
            <w:r w:rsidR="00014905" w:rsidRPr="000100F2">
              <w:rPr>
                <w:rFonts w:ascii="Times New Roman" w:eastAsia="Times New Roman" w:hAnsi="Times New Roman"/>
              </w:rPr>
              <w:t xml:space="preserve"> o </w:t>
            </w:r>
            <w:r w:rsidR="00C54C39" w:rsidRPr="000100F2">
              <w:rPr>
                <w:rFonts w:ascii="Times New Roman" w:eastAsia="Times New Roman" w:hAnsi="Times New Roman"/>
              </w:rPr>
              <w:t>komunikowaniu w działalności PR, funkcjach i celach PR</w:t>
            </w:r>
            <w:r w:rsidR="00014905" w:rsidRPr="000100F2">
              <w:rPr>
                <w:rFonts w:ascii="Times New Roman" w:eastAsia="Times New Roman" w:hAnsi="Times New Roman"/>
              </w:rPr>
              <w:t xml:space="preserve">, przybliżenie </w:t>
            </w:r>
            <w:r w:rsidR="00C54C39" w:rsidRPr="000100F2">
              <w:rPr>
                <w:rFonts w:ascii="Times New Roman" w:eastAsia="Times New Roman" w:hAnsi="Times New Roman"/>
              </w:rPr>
              <w:t>praktycznych wymiarów pracy nad strategią w obszarze PR,a także badan i analiz dla potrzeb strategicznych w PR</w:t>
            </w:r>
            <w:r w:rsidR="00014905" w:rsidRPr="000100F2">
              <w:rPr>
                <w:rFonts w:ascii="Times New Roman" w:eastAsia="Times New Roman" w:hAnsi="Times New Roman"/>
              </w:rPr>
              <w:t xml:space="preserve">. Omawiane zagadnienia będą </w:t>
            </w:r>
            <w:r w:rsidR="00F00ACC" w:rsidRPr="000100F2">
              <w:rPr>
                <w:rFonts w:ascii="Times New Roman" w:eastAsia="Times New Roman" w:hAnsi="Times New Roman"/>
              </w:rPr>
              <w:t>miały</w:t>
            </w:r>
            <w:r w:rsidR="00014905" w:rsidRPr="000100F2">
              <w:rPr>
                <w:rFonts w:ascii="Times New Roman" w:eastAsia="Times New Roman" w:hAnsi="Times New Roman"/>
              </w:rPr>
              <w:t xml:space="preserve"> także </w:t>
            </w:r>
            <w:r w:rsidR="00F00ACC" w:rsidRPr="000100F2">
              <w:rPr>
                <w:rFonts w:ascii="Times New Roman" w:eastAsia="Times New Roman" w:hAnsi="Times New Roman"/>
              </w:rPr>
              <w:t>aplikacyjny</w:t>
            </w:r>
            <w:r w:rsidR="00014905" w:rsidRPr="000100F2">
              <w:rPr>
                <w:rFonts w:ascii="Times New Roman" w:eastAsia="Times New Roman" w:hAnsi="Times New Roman"/>
              </w:rPr>
              <w:t xml:space="preserve"> charakter, a wi</w:t>
            </w:r>
            <w:r w:rsidR="00F00ACC" w:rsidRPr="000100F2">
              <w:rPr>
                <w:rFonts w:ascii="Times New Roman" w:eastAsia="Times New Roman" w:hAnsi="Times New Roman"/>
              </w:rPr>
              <w:t>ę</w:t>
            </w:r>
            <w:r w:rsidR="00014905" w:rsidRPr="000100F2">
              <w:rPr>
                <w:rFonts w:ascii="Times New Roman" w:eastAsia="Times New Roman" w:hAnsi="Times New Roman"/>
              </w:rPr>
              <w:t xml:space="preserve">c </w:t>
            </w:r>
            <w:r w:rsidR="00F00ACC" w:rsidRPr="000100F2">
              <w:rPr>
                <w:rFonts w:ascii="Times New Roman" w:eastAsia="Times New Roman" w:hAnsi="Times New Roman"/>
              </w:rPr>
              <w:t>przybliżający</w:t>
            </w:r>
            <w:r w:rsidR="00014905" w:rsidRPr="000100F2">
              <w:rPr>
                <w:rFonts w:ascii="Times New Roman" w:eastAsia="Times New Roman" w:hAnsi="Times New Roman"/>
              </w:rPr>
              <w:t xml:space="preserve"> wiedz</w:t>
            </w:r>
            <w:r w:rsidR="00F00ACC" w:rsidRPr="000100F2">
              <w:rPr>
                <w:rFonts w:ascii="Times New Roman" w:eastAsia="Times New Roman" w:hAnsi="Times New Roman"/>
              </w:rPr>
              <w:t xml:space="preserve">ęo wdrożeniowychdziałaniach </w:t>
            </w:r>
            <w:r w:rsidR="00014905" w:rsidRPr="000100F2">
              <w:rPr>
                <w:rFonts w:ascii="Times New Roman" w:eastAsia="Times New Roman" w:hAnsi="Times New Roman"/>
              </w:rPr>
              <w:t xml:space="preserve">w obszarze </w:t>
            </w:r>
            <w:r w:rsidR="00F00ACC" w:rsidRPr="000100F2">
              <w:rPr>
                <w:rFonts w:ascii="Times New Roman" w:eastAsia="Times New Roman" w:hAnsi="Times New Roman"/>
              </w:rPr>
              <w:t>wybranych podmiotów</w:t>
            </w:r>
            <w:r w:rsidR="00014905" w:rsidRPr="000100F2">
              <w:rPr>
                <w:rFonts w:ascii="Times New Roman" w:eastAsia="Times New Roman" w:hAnsi="Times New Roman"/>
              </w:rPr>
              <w:t xml:space="preserve"> organizacyjnych i społecznych</w:t>
            </w:r>
            <w:r w:rsidR="00F00ACC" w:rsidRPr="000100F2">
              <w:rPr>
                <w:rFonts w:ascii="Times New Roman" w:eastAsia="Times New Roman" w:hAnsi="Times New Roman"/>
              </w:rPr>
              <w:t>.</w:t>
            </w:r>
          </w:p>
        </w:tc>
      </w:tr>
    </w:tbl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 w:rsidRPr="000100F2">
        <w:rPr>
          <w:rFonts w:ascii="Times New Roman" w:eastAsia="Times New Roman" w:hAnsi="Times New Roman"/>
        </w:rPr>
        <w:t xml:space="preserve">Efekty </w:t>
      </w:r>
      <w:r w:rsidR="0079269A">
        <w:rPr>
          <w:rFonts w:ascii="Times New Roman" w:eastAsia="Times New Roman" w:hAnsi="Times New Roman"/>
        </w:rPr>
        <w:t xml:space="preserve">uczenia się </w:t>
      </w: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3D43F6" w:rsidRPr="000100F2">
        <w:trPr>
          <w:cantSplit/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D43F6" w:rsidRPr="000100F2" w:rsidRDefault="003D43F6" w:rsidP="00F00AC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3D43F6" w:rsidRPr="000100F2">
        <w:trPr>
          <w:cantSplit/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D43F6" w:rsidRPr="000100F2" w:rsidRDefault="003D43F6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D43F6" w:rsidRPr="000100F2" w:rsidRDefault="003D43F6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Default="003D43F6" w:rsidP="00F00ACC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Student</w:t>
            </w:r>
            <w:r w:rsidRPr="000100F2">
              <w:rPr>
                <w:rFonts w:ascii="Times New Roman" w:hAnsi="Times New Roman"/>
              </w:rPr>
              <w:t xml:space="preserve"> posiada pogłębioną wiedzę nt. skuteczności działań public relations w utrzymywaniu relacji firmy z otoczeniem</w:t>
            </w:r>
          </w:p>
          <w:p w:rsidR="006C6BF7" w:rsidRDefault="006C6BF7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243002" w:rsidRPr="000100F2" w:rsidRDefault="00243002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F00ACC">
            <w:pPr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Student</w:t>
            </w:r>
            <w:r w:rsidRPr="000100F2">
              <w:rPr>
                <w:rFonts w:ascii="Times New Roman" w:hAnsi="Times New Roman"/>
              </w:rPr>
              <w:t xml:space="preserve"> ma wiedzę na temat odpowiedzialności i norm etycznych w działalności PR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W0</w:t>
            </w:r>
            <w:r w:rsidR="006C6BF7">
              <w:rPr>
                <w:rFonts w:ascii="Times New Roman" w:eastAsia="Times New Roman" w:hAnsi="Times New Roman"/>
              </w:rPr>
              <w:t xml:space="preserve">1, </w:t>
            </w:r>
            <w:r w:rsidRPr="000100F2">
              <w:rPr>
                <w:rFonts w:ascii="Times New Roman" w:eastAsia="Times New Roman" w:hAnsi="Times New Roman"/>
              </w:rPr>
              <w:t>W07</w:t>
            </w: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6C6BF7" w:rsidRPr="000100F2" w:rsidRDefault="006C6BF7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W0</w:t>
            </w:r>
            <w:r w:rsidR="006C6BF7">
              <w:rPr>
                <w:rFonts w:ascii="Times New Roman" w:eastAsia="Times New Roman" w:hAnsi="Times New Roman"/>
              </w:rPr>
              <w:t>3</w:t>
            </w:r>
          </w:p>
          <w:p w:rsidR="003D43F6" w:rsidRPr="000100F2" w:rsidRDefault="003D43F6" w:rsidP="00F00ACC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pageBreakBefore/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3D43F6" w:rsidRPr="000100F2"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D43F6" w:rsidRPr="000100F2" w:rsidRDefault="003D43F6" w:rsidP="00F00AC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3D43F6" w:rsidRPr="000100F2">
        <w:trPr>
          <w:cantSplit/>
          <w:trHeight w:val="211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D43F6" w:rsidRPr="000100F2" w:rsidRDefault="003D43F6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D43F6" w:rsidRPr="000100F2" w:rsidRDefault="003D43F6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Studentwłaściwie dobiera i stosuje koncepcje z zakresu PR do tworzenia planów strategicznych w zakresie komunikacji organizacji z otoczeniem</w:t>
            </w:r>
          </w:p>
          <w:p w:rsidR="003D43F6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243002" w:rsidRDefault="00243002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Default="003D43F6" w:rsidP="00F00ACC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Student</w:t>
            </w:r>
            <w:r w:rsidRPr="000100F2">
              <w:rPr>
                <w:rFonts w:ascii="Times New Roman" w:hAnsi="Times New Roman"/>
              </w:rPr>
              <w:t xml:space="preserve"> wykazuje się kreatywnym podejściem do tworzenia strategii komunikacyjnych PR i rozumienia oddziaływania takiego przekazu </w:t>
            </w:r>
          </w:p>
          <w:p w:rsidR="00243002" w:rsidRPr="000100F2" w:rsidRDefault="00243002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D43F6" w:rsidRPr="000100F2" w:rsidRDefault="003D43F6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A05CF4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U0</w:t>
            </w:r>
            <w:r w:rsidR="00243002">
              <w:rPr>
                <w:rFonts w:ascii="Times New Roman" w:eastAsia="Times New Roman" w:hAnsi="Times New Roman"/>
              </w:rPr>
              <w:t>1</w:t>
            </w:r>
            <w:r w:rsidRPr="000100F2">
              <w:rPr>
                <w:rFonts w:ascii="Times New Roman" w:eastAsia="Times New Roman" w:hAnsi="Times New Roman"/>
              </w:rPr>
              <w:t xml:space="preserve">, </w:t>
            </w: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243002" w:rsidRPr="000100F2" w:rsidRDefault="00243002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243002" w:rsidRDefault="00243002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243002" w:rsidP="00243002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U05</w:t>
            </w:r>
            <w:r>
              <w:rPr>
                <w:rFonts w:ascii="Times New Roman" w:eastAsia="Times New Roman" w:hAnsi="Times New Roman"/>
              </w:rPr>
              <w:t xml:space="preserve">; </w:t>
            </w:r>
            <w:r w:rsidR="003D43F6" w:rsidRPr="000100F2">
              <w:rPr>
                <w:rFonts w:ascii="Times New Roman" w:eastAsia="Times New Roman" w:hAnsi="Times New Roman"/>
              </w:rPr>
              <w:t xml:space="preserve">U06, </w:t>
            </w:r>
          </w:p>
        </w:tc>
      </w:tr>
    </w:tbl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3D43F6" w:rsidRPr="000100F2">
        <w:trPr>
          <w:cantSplit/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D43F6" w:rsidRPr="000100F2" w:rsidRDefault="003D43F6" w:rsidP="00F00AC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3D43F6" w:rsidRDefault="003D43F6" w:rsidP="00F3022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3D43F6" w:rsidRPr="000100F2">
        <w:trPr>
          <w:cantSplit/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D43F6" w:rsidRPr="000100F2" w:rsidRDefault="003D43F6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C6BF7" w:rsidRDefault="006C6BF7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 xml:space="preserve">Student </w:t>
            </w:r>
            <w:r w:rsidRPr="000100F2">
              <w:rPr>
                <w:rFonts w:ascii="Times New Roman" w:hAnsi="Times New Roman"/>
              </w:rPr>
              <w:t>wykazuje się analitycznym podejściem do badania potrzeb organizacji i jej otoczenia w odniesieniu do potrzeb komunikacyjnych</w:t>
            </w:r>
          </w:p>
          <w:p w:rsidR="003D43F6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243002" w:rsidRPr="000100F2" w:rsidRDefault="00243002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Default="003D43F6" w:rsidP="00F00ACC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 xml:space="preserve">Student </w:t>
            </w:r>
            <w:r w:rsidRPr="000100F2">
              <w:rPr>
                <w:rFonts w:ascii="Times New Roman" w:hAnsi="Times New Roman"/>
              </w:rPr>
              <w:t>potrafi uwzględnić badania rynku w strategicznych działaniach organizacji</w:t>
            </w:r>
          </w:p>
          <w:p w:rsidR="006C6BF7" w:rsidRPr="000100F2" w:rsidRDefault="006C6BF7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C6BF7" w:rsidRDefault="006C6BF7" w:rsidP="00A05CF4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A05CF4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K0</w:t>
            </w:r>
            <w:r w:rsidR="006C6BF7">
              <w:rPr>
                <w:rFonts w:ascii="Times New Roman" w:eastAsia="Times New Roman" w:hAnsi="Times New Roman"/>
              </w:rPr>
              <w:t>6</w:t>
            </w:r>
            <w:r w:rsidRPr="000100F2">
              <w:rPr>
                <w:rFonts w:ascii="Times New Roman" w:eastAsia="Times New Roman" w:hAnsi="Times New Roman"/>
              </w:rPr>
              <w:t xml:space="preserve"> ; K0</w:t>
            </w:r>
            <w:r w:rsidR="006C6BF7">
              <w:rPr>
                <w:rFonts w:ascii="Times New Roman" w:eastAsia="Times New Roman" w:hAnsi="Times New Roman"/>
              </w:rPr>
              <w:t>7</w:t>
            </w: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6C6BF7" w:rsidRDefault="006C6BF7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6C6BF7" w:rsidRDefault="006C6BF7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</w:p>
          <w:p w:rsidR="003D43F6" w:rsidRPr="000100F2" w:rsidRDefault="003D43F6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K0</w:t>
            </w:r>
            <w:r w:rsidR="006C6BF7">
              <w:rPr>
                <w:rFonts w:ascii="Times New Roman" w:eastAsia="Times New Roman" w:hAnsi="Times New Roman"/>
              </w:rPr>
              <w:t>6</w:t>
            </w:r>
          </w:p>
        </w:tc>
      </w:tr>
    </w:tbl>
    <w:p w:rsidR="000F4581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6C6BF7" w:rsidRDefault="006C6BF7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6C6BF7" w:rsidRPr="000100F2" w:rsidRDefault="006C6BF7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0F4581" w:rsidRPr="000100F2">
        <w:trPr>
          <w:cantSplit/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ind w:left="45" w:right="13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Organizacja</w:t>
            </w:r>
          </w:p>
        </w:tc>
      </w:tr>
      <w:tr w:rsidR="000F4581" w:rsidRPr="000100F2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Wykład</w:t>
            </w:r>
          </w:p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Ćwiczenia w grupach</w:t>
            </w:r>
          </w:p>
        </w:tc>
      </w:tr>
      <w:tr w:rsidR="000F4581" w:rsidRPr="00010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F4581" w:rsidRPr="00010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0F4581" w:rsidRPr="000100F2" w:rsidRDefault="000F4581" w:rsidP="00F00ACC">
      <w:pPr>
        <w:widowControl w:val="0"/>
        <w:suppressLineNumbers/>
        <w:autoSpaceDE w:val="0"/>
        <w:spacing w:after="0"/>
        <w:rPr>
          <w:rFonts w:ascii="Times New Roman" w:hAnsi="Times New Roman"/>
        </w:rPr>
      </w:pPr>
    </w:p>
    <w:p w:rsidR="000F4581" w:rsidRPr="000100F2" w:rsidRDefault="000F4581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 w:rsidRPr="000100F2">
        <w:rPr>
          <w:rFonts w:ascii="Times New Roman" w:eastAsia="Times New Roman" w:hAnsi="Times New Roman"/>
        </w:rPr>
        <w:t>Opis metod prowadzenia zajęć</w:t>
      </w: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F4581" w:rsidRPr="000100F2" w:rsidTr="003D43F6">
        <w:trPr>
          <w:trHeight w:val="711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F4581" w:rsidRPr="000100F2" w:rsidRDefault="000F4581" w:rsidP="006C6BF7">
            <w:pPr>
              <w:widowControl w:val="0"/>
              <w:suppressLineNumbers/>
              <w:autoSpaceDE w:val="0"/>
              <w:spacing w:before="120" w:after="120"/>
              <w:ind w:left="170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 xml:space="preserve">Ćwiczenia: </w:t>
            </w:r>
            <w:r w:rsidR="00F00ACC" w:rsidRPr="000100F2">
              <w:rPr>
                <w:rFonts w:ascii="Times New Roman" w:eastAsia="Times New Roman" w:hAnsi="Times New Roman"/>
              </w:rPr>
              <w:t>przegotowanie</w:t>
            </w:r>
            <w:r w:rsidR="00014905" w:rsidRPr="000100F2">
              <w:rPr>
                <w:rFonts w:ascii="Times New Roman" w:eastAsia="Times New Roman" w:hAnsi="Times New Roman"/>
              </w:rPr>
              <w:t xml:space="preserve"> do </w:t>
            </w:r>
            <w:r w:rsidR="00F00ACC" w:rsidRPr="000100F2">
              <w:rPr>
                <w:rFonts w:ascii="Times New Roman" w:eastAsia="Times New Roman" w:hAnsi="Times New Roman"/>
              </w:rPr>
              <w:t>dyskusji</w:t>
            </w:r>
            <w:r w:rsidR="00014905" w:rsidRPr="000100F2">
              <w:rPr>
                <w:rFonts w:ascii="Times New Roman" w:eastAsia="Times New Roman" w:hAnsi="Times New Roman"/>
              </w:rPr>
              <w:t xml:space="preserve"> z </w:t>
            </w:r>
            <w:r w:rsidR="00F00ACC" w:rsidRPr="000100F2">
              <w:rPr>
                <w:rFonts w:ascii="Times New Roman" w:eastAsia="Times New Roman" w:hAnsi="Times New Roman"/>
              </w:rPr>
              <w:t>wykorzystaniem</w:t>
            </w:r>
            <w:r w:rsidR="00014905" w:rsidRPr="000100F2">
              <w:rPr>
                <w:rFonts w:ascii="Times New Roman" w:eastAsia="Times New Roman" w:hAnsi="Times New Roman"/>
              </w:rPr>
              <w:t xml:space="preserve"> tekstów źródłowych, </w:t>
            </w:r>
            <w:r w:rsidRPr="000100F2">
              <w:rPr>
                <w:rFonts w:ascii="Times New Roman" w:eastAsia="Times New Roman" w:hAnsi="Times New Roman"/>
              </w:rPr>
              <w:t>prezentacja projektów zespołowych</w:t>
            </w:r>
            <w:r w:rsidR="00014905" w:rsidRPr="000100F2">
              <w:rPr>
                <w:rFonts w:ascii="Times New Roman" w:eastAsia="Times New Roman" w:hAnsi="Times New Roman"/>
              </w:rPr>
              <w:t>/</w:t>
            </w:r>
            <w:r w:rsidR="00F00ACC" w:rsidRPr="000100F2">
              <w:rPr>
                <w:rFonts w:ascii="Times New Roman" w:eastAsia="Times New Roman" w:hAnsi="Times New Roman"/>
              </w:rPr>
              <w:t>indywidulanych.</w:t>
            </w:r>
          </w:p>
        </w:tc>
      </w:tr>
    </w:tbl>
    <w:p w:rsidR="000F4581" w:rsidRPr="000100F2" w:rsidRDefault="000F4581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pageBreakBefore/>
        <w:widowControl w:val="0"/>
        <w:suppressLineNumbers/>
        <w:autoSpaceDE w:val="0"/>
        <w:spacing w:after="0"/>
        <w:rPr>
          <w:rFonts w:ascii="Times New Roman" w:eastAsia="Times New Roman" w:hAnsi="Times New Roman"/>
        </w:rPr>
      </w:pPr>
      <w:r w:rsidRPr="000100F2">
        <w:rPr>
          <w:rFonts w:ascii="Times New Roman" w:eastAsia="Times New Roman" w:hAnsi="Times New Roman"/>
        </w:rPr>
        <w:lastRenderedPageBreak/>
        <w:t xml:space="preserve">Formy sprawdzania efektów </w:t>
      </w:r>
      <w:r w:rsidR="0079269A">
        <w:rPr>
          <w:rFonts w:ascii="Times New Roman" w:eastAsia="Times New Roman" w:hAnsi="Times New Roman"/>
        </w:rPr>
        <w:t xml:space="preserve">uczenia się </w:t>
      </w:r>
    </w:p>
    <w:p w:rsidR="000F4581" w:rsidRPr="000100F2" w:rsidRDefault="000F4581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93"/>
      </w:tblGrid>
      <w:tr w:rsidR="000F4581" w:rsidRPr="000100F2" w:rsidTr="003D43F6">
        <w:trPr>
          <w:cantSplit/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widowControl w:val="0"/>
              <w:autoSpaceDE w:val="0"/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 xml:space="preserve">E – </w:t>
            </w:r>
            <w:r w:rsidRPr="000100F2">
              <w:rPr>
                <w:rFonts w:ascii="Times New Roman" w:eastAsia="Times New Roman" w:hAnsi="Times New Roman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Egzamin pisemny</w:t>
            </w: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0F4581" w:rsidRPr="000100F2" w:rsidRDefault="000F4581" w:rsidP="003D43F6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Inne</w:t>
            </w:r>
          </w:p>
        </w:tc>
      </w:tr>
      <w:tr w:rsidR="000F4581" w:rsidRPr="000100F2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0F4581" w:rsidRPr="000100F2" w:rsidRDefault="000F4581" w:rsidP="003D43F6">
            <w:pPr>
              <w:spacing w:after="0" w:line="240" w:lineRule="auto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3D43F6" w:rsidP="003D43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3D43F6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3D43F6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4581" w:rsidRPr="000100F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0F4581" w:rsidRPr="000100F2" w:rsidRDefault="006C6BF7" w:rsidP="003D4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W0</w:t>
            </w:r>
            <w:r w:rsidR="0079269A"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3D43F6" w:rsidP="003D43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3D43F6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3D43F6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F4581" w:rsidRPr="000100F2" w:rsidRDefault="000F4581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67D7" w:rsidRPr="000100F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0F67D7" w:rsidRPr="000100F2" w:rsidRDefault="000F67D7" w:rsidP="003D4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W0</w:t>
            </w:r>
            <w:r w:rsidR="0079269A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F302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F302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F302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67D7" w:rsidRPr="000100F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0F67D7" w:rsidRPr="000100F2" w:rsidRDefault="000F67D7" w:rsidP="003D43F6">
            <w:pPr>
              <w:spacing w:after="0" w:line="240" w:lineRule="auto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67D7" w:rsidRPr="000100F2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0F67D7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U0</w:t>
            </w:r>
            <w:r w:rsidR="0079269A"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F67D7" w:rsidRPr="000100F2" w:rsidRDefault="000F67D7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3002" w:rsidRPr="000100F2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U0</w:t>
            </w:r>
            <w:r w:rsidR="0079269A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F302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F302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F302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3002" w:rsidRPr="000100F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K0</w:t>
            </w:r>
            <w:r w:rsidR="0079269A"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3002" w:rsidRPr="000100F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K0</w:t>
            </w:r>
            <w:r w:rsidR="0079269A">
              <w:rPr>
                <w:rFonts w:ascii="Times New Roman" w:hAnsi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243002" w:rsidRPr="000100F2" w:rsidRDefault="00243002" w:rsidP="003D4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F4581" w:rsidRDefault="000F4581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</w:rPr>
      </w:pPr>
    </w:p>
    <w:p w:rsidR="003D43F6" w:rsidRPr="000100F2" w:rsidRDefault="003D43F6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541"/>
        <w:gridCol w:w="1984"/>
        <w:gridCol w:w="1985"/>
        <w:gridCol w:w="1984"/>
        <w:gridCol w:w="2177"/>
      </w:tblGrid>
      <w:tr w:rsidR="00E739A9" w:rsidRPr="001F5727" w:rsidTr="00FD0CC8">
        <w:trPr>
          <w:cantSplit/>
          <w:trHeight w:val="259"/>
        </w:trPr>
        <w:tc>
          <w:tcPr>
            <w:tcW w:w="15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vAlign w:val="center"/>
          </w:tcPr>
          <w:p w:rsidR="00E739A9" w:rsidRPr="001F5727" w:rsidRDefault="00E739A9" w:rsidP="00FD0CC8">
            <w:pPr>
              <w:jc w:val="center"/>
              <w:rPr>
                <w:rFonts w:cs="Calibri"/>
              </w:rPr>
            </w:pPr>
            <w:r w:rsidRPr="001F5727">
              <w:rPr>
                <w:rStyle w:val="Odwoaniedokomentarza1"/>
                <w:rFonts w:cs="Calibri"/>
              </w:rPr>
              <w:t>Kryteria oceny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pStyle w:val="Nagwkitablic"/>
              <w:rPr>
                <w:rFonts w:ascii="Calibri" w:hAnsi="Calibri" w:cs="Calibri"/>
              </w:rPr>
            </w:pPr>
            <w:r w:rsidRPr="001F5727">
              <w:rPr>
                <w:rFonts w:ascii="Calibri" w:hAnsi="Calibri" w:cs="Calibri"/>
                <w:b w:val="0"/>
              </w:rPr>
              <w:t>Na ocenę 2 student/ka: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snapToGrid w:val="0"/>
              <w:jc w:val="center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Na ocenę 3 student/ka: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Na ocenę 4 student/ka:</w:t>
            </w:r>
          </w:p>
        </w:tc>
        <w:tc>
          <w:tcPr>
            <w:tcW w:w="21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Na ocenę 5</w:t>
            </w:r>
          </w:p>
          <w:p w:rsidR="00E739A9" w:rsidRPr="001F5727" w:rsidRDefault="00E739A9" w:rsidP="00FD0CC8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student/ka:</w:t>
            </w:r>
          </w:p>
        </w:tc>
      </w:tr>
      <w:tr w:rsidR="00E739A9" w:rsidRPr="001F5727" w:rsidTr="00FD0CC8">
        <w:trPr>
          <w:cantSplit/>
          <w:trHeight w:val="244"/>
        </w:trPr>
        <w:tc>
          <w:tcPr>
            <w:tcW w:w="15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vAlign w:val="center"/>
          </w:tcPr>
          <w:p w:rsidR="00E739A9" w:rsidRPr="001F5727" w:rsidRDefault="00E739A9" w:rsidP="00FD0CC8">
            <w:pPr>
              <w:jc w:val="center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Wiedza 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NIE potrafi, przynajmniej w 50 %, zdefiniować i objaśnić podstawowych pojęć, nie zna najważniejszych problemów dot. warunków </w:t>
            </w:r>
            <w:r>
              <w:rPr>
                <w:rFonts w:cs="Calibri"/>
                <w:sz w:val="20"/>
                <w:szCs w:val="20"/>
              </w:rPr>
              <w:t>strategii PR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W przynajmniej 51 % potrafi zdefiniować i objaśnić podstawowe pojęcia, zna najważniejszych problemy dot. warunków </w:t>
            </w:r>
            <w:r>
              <w:rPr>
                <w:rFonts w:cs="Calibri"/>
                <w:sz w:val="20"/>
                <w:szCs w:val="20"/>
              </w:rPr>
              <w:t>strategii PR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W przynajmniej 75 % potrafi zdefiniować i objaśnić podstawowe pojęcia, zna najważniejsze problemy dot. warunków </w:t>
            </w:r>
            <w:r>
              <w:rPr>
                <w:rFonts w:cs="Calibri"/>
                <w:sz w:val="20"/>
                <w:szCs w:val="20"/>
              </w:rPr>
              <w:t>strategii PR</w:t>
            </w:r>
          </w:p>
          <w:p w:rsidR="00E739A9" w:rsidRPr="001F5727" w:rsidRDefault="00E739A9" w:rsidP="00FD0CC8">
            <w:pPr>
              <w:rPr>
                <w:rFonts w:cs="Calibri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W przynajmniej 90 % potrafi zdefiniować i objaśnić podstawowe pojęcia, zna najważniejsze problemy problemów dot. warunków </w:t>
            </w:r>
            <w:r>
              <w:rPr>
                <w:rFonts w:cs="Calibri"/>
                <w:sz w:val="20"/>
                <w:szCs w:val="20"/>
              </w:rPr>
              <w:t>strategii PR</w:t>
            </w:r>
            <w:r w:rsidRPr="001F5727">
              <w:rPr>
                <w:rFonts w:cs="Calibri"/>
                <w:sz w:val="20"/>
                <w:szCs w:val="20"/>
              </w:rPr>
              <w:t xml:space="preserve"> oraz wykazuje zdolności interpretacyjne i komparatystyczne.</w:t>
            </w:r>
          </w:p>
          <w:p w:rsidR="00E739A9" w:rsidRPr="001F5727" w:rsidRDefault="00E739A9" w:rsidP="00FD0CC8">
            <w:pPr>
              <w:rPr>
                <w:rFonts w:cs="Calibri"/>
              </w:rPr>
            </w:pPr>
          </w:p>
        </w:tc>
      </w:tr>
      <w:tr w:rsidR="00E739A9" w:rsidRPr="001F5727" w:rsidTr="00FD0CC8">
        <w:trPr>
          <w:cantSplit/>
          <w:trHeight w:val="259"/>
        </w:trPr>
        <w:tc>
          <w:tcPr>
            <w:tcW w:w="15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vAlign w:val="center"/>
          </w:tcPr>
          <w:p w:rsidR="00E739A9" w:rsidRPr="001F5727" w:rsidRDefault="00E739A9" w:rsidP="00FD0CC8">
            <w:pPr>
              <w:jc w:val="center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Student/ka nie uczestniczy w dyskusjach, nie opracowuje indywidualnie tekstów zadanych przez nauczyciela, nie potrafi samodzielnie sformułować problemów badawczych dot. zadanego projektu .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Student/ka sporadycznie zabiera głos w dyskusjach, odwołując się do  materiału tekstowego zadanego przez wykładowcę do opracowania indywidualnie, w podstawowym zakresie potrafi samodzielnie sformułować problemów badawczych dot. zadanego projektu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Student/ka aktywnie uczestniczy w  dyskusjach, odwołując się do  materiału tekstowego zadanego przez wykładowcę do opracowania indywidualnie, potrafi samodzielnie sformułować problemów badawczych dot. zadanego projektu</w:t>
            </w:r>
          </w:p>
        </w:tc>
        <w:tc>
          <w:tcPr>
            <w:tcW w:w="21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 xml:space="preserve">Student/ka aktywnie uczestniczy w  dyskusjach, odwołując się do  materiału tekstowego zadanego przez wykładowcę do opracowania indywidualnie, wyczerpująco </w:t>
            </w:r>
            <w:r w:rsidRPr="001F5727">
              <w:rPr>
                <w:rFonts w:cs="Calibri"/>
                <w:sz w:val="20"/>
                <w:szCs w:val="20"/>
              </w:rPr>
              <w:t>potrafi samodzielnie sformułować problemów badawczych dot. zadanego projektu</w:t>
            </w:r>
            <w:r w:rsidRPr="001F5727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739A9" w:rsidRPr="001F5727" w:rsidTr="00FD0CC8">
        <w:trPr>
          <w:cantSplit/>
          <w:trHeight w:val="259"/>
        </w:trPr>
        <w:tc>
          <w:tcPr>
            <w:tcW w:w="15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vAlign w:val="center"/>
          </w:tcPr>
          <w:p w:rsidR="00E739A9" w:rsidRPr="001F5727" w:rsidRDefault="00E739A9" w:rsidP="00FD0CC8">
            <w:pPr>
              <w:jc w:val="center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Kompetencje społeczne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>Student/ka nie przygotowuje się do zajęć, nie dostrzega potrzeby uczenia się.</w:t>
            </w:r>
          </w:p>
          <w:p w:rsidR="00E739A9" w:rsidRPr="001F5727" w:rsidRDefault="00E739A9" w:rsidP="00FD0CC8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>W dyskusji przejawia brak zrozumienia innych i tolerancji lub nie zabiera głosu w ogóle, nie inicjuje pracy grupowej, nie koordynuje prac zespołu.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</w:rPr>
              <w:t xml:space="preserve">Student/ka wykazuje gotowość i chęć zdobywania wiedzy poprzez  przygotowywanie się do zajęć, sporadyczny udział w dyskusji oraz otwartość wobec innych, sporadycznie </w:t>
            </w:r>
            <w:r w:rsidRPr="001F5727">
              <w:rPr>
                <w:rFonts w:cs="Calibri"/>
                <w:color w:val="000000"/>
                <w:sz w:val="20"/>
                <w:szCs w:val="20"/>
              </w:rPr>
              <w:t>inicjuje pracę grupową i ją koordynuje.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>Student/ka wykazuje gotowość i chęć zdobywania wiedzy poprzez systematyczne przygotowywanie się do zajęć, spontaniczny udział w dyskusji, zdrowy krytycyzm oraz otwartość wobec innych, czasem inicjuje pracę grupową i ją koordynuje.</w:t>
            </w:r>
          </w:p>
        </w:tc>
        <w:tc>
          <w:tcPr>
            <w:tcW w:w="21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</w:tcPr>
          <w:p w:rsidR="00E739A9" w:rsidRPr="001F5727" w:rsidRDefault="00E739A9" w:rsidP="00FD0CC8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 xml:space="preserve">Student/ka wykazuje gotowość i chęć zdobywania wiedzy poprzez systematyczne przygotowywanie się do zajęć, aktywny i twórczy udział w dyskusji, zdrowy krytycyzm oraz otwartość wobec innych, inicjuje pracę grupową, koordynuje i przewodzi zespołowi </w:t>
            </w:r>
          </w:p>
        </w:tc>
      </w:tr>
    </w:tbl>
    <w:p w:rsidR="000F4581" w:rsidRPr="000100F2" w:rsidRDefault="000F4581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0F4581" w:rsidRPr="000100F2" w:rsidTr="003D43F6">
        <w:trPr>
          <w:trHeight w:val="17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widowControl w:val="0"/>
              <w:spacing w:after="57"/>
              <w:jc w:val="center"/>
              <w:rPr>
                <w:rFonts w:ascii="Times New Roman" w:eastAsia="Times New Roman" w:hAnsi="Times New Roman"/>
              </w:rPr>
            </w:pPr>
            <w:r w:rsidRPr="000100F2">
              <w:rPr>
                <w:rFonts w:ascii="Times New Roman" w:eastAsia="Times New Roman" w:hAnsi="Times New Roman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F4581" w:rsidRPr="000100F2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rPr>
                <w:rFonts w:ascii="Times New Roman" w:eastAsia="Times New Roman" w:hAnsi="Times New Roman"/>
              </w:rPr>
            </w:pPr>
          </w:p>
        </w:tc>
      </w:tr>
    </w:tbl>
    <w:p w:rsidR="000F4581" w:rsidRPr="000100F2" w:rsidRDefault="000F4581" w:rsidP="00F00ACC">
      <w:pPr>
        <w:widowControl w:val="0"/>
        <w:autoSpaceDE w:val="0"/>
        <w:spacing w:after="0"/>
        <w:rPr>
          <w:rFonts w:ascii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 w:rsidRPr="000100F2">
        <w:rPr>
          <w:rFonts w:ascii="Times New Roman" w:eastAsia="Times New Roman" w:hAnsi="Times New Roman"/>
        </w:rPr>
        <w:t>Treści merytoryczne (wykaz tematów)</w:t>
      </w:r>
    </w:p>
    <w:p w:rsidR="000F4581" w:rsidRPr="003D43F6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F4581" w:rsidRPr="000100F2" w:rsidTr="003D43F6">
        <w:trPr>
          <w:trHeight w:val="274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05CF4" w:rsidRPr="000100F2" w:rsidRDefault="004F20AD" w:rsidP="003D43F6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DejaVuSans" w:hAnsi="Times New Roman"/>
                <w:lang w:eastAsia="pl-PL"/>
              </w:rPr>
            </w:pPr>
            <w:r w:rsidRPr="000100F2">
              <w:rPr>
                <w:rFonts w:ascii="Times New Roman" w:eastAsia="DejaVuSans" w:hAnsi="Times New Roman"/>
                <w:lang w:eastAsia="pl-PL"/>
              </w:rPr>
              <w:t>Podstawowe pojęcia public relations</w:t>
            </w:r>
          </w:p>
          <w:p w:rsidR="00C54C39" w:rsidRPr="000100F2" w:rsidRDefault="004F20AD" w:rsidP="003D43F6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DejaVuSans" w:hAnsi="Times New Roman"/>
                <w:lang w:eastAsia="pl-PL"/>
              </w:rPr>
            </w:pPr>
            <w:r w:rsidRPr="000100F2">
              <w:rPr>
                <w:rFonts w:ascii="Times New Roman" w:eastAsia="DejaVuSans" w:hAnsi="Times New Roman"/>
                <w:lang w:eastAsia="pl-PL"/>
              </w:rPr>
              <w:t xml:space="preserve">Skuteczne komunikowanie jako podstawa działań PR </w:t>
            </w:r>
          </w:p>
          <w:p w:rsidR="00A05CF4" w:rsidRPr="000100F2" w:rsidRDefault="004F20AD" w:rsidP="003D43F6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DejaVuSans" w:hAnsi="Times New Roman"/>
                <w:lang w:eastAsia="pl-PL"/>
              </w:rPr>
            </w:pPr>
            <w:r w:rsidRPr="000100F2">
              <w:rPr>
                <w:rFonts w:ascii="Times New Roman" w:eastAsia="DejaVuSans" w:hAnsi="Times New Roman"/>
                <w:lang w:eastAsia="pl-PL"/>
              </w:rPr>
              <w:t>Wybrane techniki media relations - kontakty z mediami</w:t>
            </w:r>
          </w:p>
          <w:p w:rsidR="00A05CF4" w:rsidRPr="000100F2" w:rsidRDefault="004F20AD" w:rsidP="003D43F6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DejaVuSans" w:hAnsi="Times New Roman"/>
                <w:lang w:eastAsia="pl-PL"/>
              </w:rPr>
            </w:pPr>
            <w:r w:rsidRPr="000100F2">
              <w:rPr>
                <w:rFonts w:ascii="Times New Roman" w:eastAsia="DejaVuSans" w:hAnsi="Times New Roman"/>
                <w:lang w:eastAsia="pl-PL"/>
              </w:rPr>
              <w:t>Wizerunek przedsiębiorstwa  i budowanie tożsamości organizacji</w:t>
            </w:r>
          </w:p>
          <w:p w:rsidR="004F20AD" w:rsidRPr="000100F2" w:rsidRDefault="004F20AD" w:rsidP="003D43F6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DejaVuSans" w:hAnsi="Times New Roman"/>
                <w:lang w:eastAsia="pl-PL"/>
              </w:rPr>
            </w:pPr>
            <w:r w:rsidRPr="000100F2">
              <w:rPr>
                <w:rFonts w:ascii="Times New Roman" w:eastAsia="DejaVuSans" w:hAnsi="Times New Roman"/>
                <w:lang w:eastAsia="pl-PL"/>
              </w:rPr>
              <w:t xml:space="preserve">Komunikacja w sytuacji kryzysowej </w:t>
            </w:r>
          </w:p>
          <w:p w:rsidR="00C54C39" w:rsidRPr="000100F2" w:rsidRDefault="004F20AD" w:rsidP="003D43F6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DejaVuSans" w:hAnsi="Times New Roman"/>
                <w:lang w:eastAsia="pl-PL"/>
              </w:rPr>
            </w:pPr>
            <w:r w:rsidRPr="000100F2">
              <w:rPr>
                <w:rFonts w:ascii="Times New Roman" w:eastAsia="DejaVuSans" w:hAnsi="Times New Roman"/>
                <w:lang w:eastAsia="pl-PL"/>
              </w:rPr>
              <w:t>Etyka i etykieta w biznesie</w:t>
            </w:r>
          </w:p>
          <w:p w:rsidR="004F20AD" w:rsidRPr="000100F2" w:rsidRDefault="00E739A9" w:rsidP="003D43F6">
            <w:pPr>
              <w:widowControl w:val="0"/>
              <w:autoSpaceDE w:val="0"/>
              <w:spacing w:after="0" w:line="360" w:lineRule="auto"/>
              <w:ind w:lef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7/8. </w:t>
            </w:r>
            <w:r w:rsidR="004F20AD" w:rsidRPr="000100F2">
              <w:rPr>
                <w:rFonts w:ascii="Times New Roman" w:eastAsia="Times New Roman" w:hAnsi="Times New Roman"/>
              </w:rPr>
              <w:t>Kreatywność w PR</w:t>
            </w:r>
            <w:r>
              <w:rPr>
                <w:rFonts w:ascii="Times New Roman" w:eastAsia="Times New Roman" w:hAnsi="Times New Roman"/>
              </w:rPr>
              <w:t xml:space="preserve"> - </w:t>
            </w:r>
            <w:r w:rsidR="004F20AD" w:rsidRPr="00E739A9">
              <w:rPr>
                <w:rFonts w:ascii="Times New Roman" w:eastAsia="Times New Roman" w:hAnsi="Times New Roman"/>
              </w:rPr>
              <w:t>Projekty własne</w:t>
            </w:r>
            <w:r w:rsidR="004F20AD" w:rsidRPr="00E739A9">
              <w:rPr>
                <w:rFonts w:ascii="Times New Roman" w:eastAsia="DejaVuSans" w:hAnsi="Times New Roman"/>
                <w:lang w:eastAsia="pl-PL"/>
              </w:rPr>
              <w:t xml:space="preserve"> - formułowanie celów strategii, określanie grup docelowych, analiza otoczenia, analiza SWOT, opracowanie strategii komunikacyjnych </w:t>
            </w:r>
          </w:p>
        </w:tc>
      </w:tr>
    </w:tbl>
    <w:p w:rsidR="003D43F6" w:rsidRDefault="003D43F6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3D43F6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br w:type="page"/>
      </w: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 w:rsidRPr="000100F2">
        <w:rPr>
          <w:rFonts w:ascii="Times New Roman" w:eastAsia="Times New Roman" w:hAnsi="Times New Roman"/>
        </w:rPr>
        <w:lastRenderedPageBreak/>
        <w:t>Wykaz literatury podstawowej:</w:t>
      </w: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F4581" w:rsidRPr="000100F2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0248B" w:rsidRPr="003D43F6" w:rsidRDefault="0020248B" w:rsidP="003D43F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 xml:space="preserve">Black S., 2005: Public Relations, Oficyna Ekonomiczna, </w:t>
            </w:r>
            <w:r w:rsidR="004F20AD"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Kraków</w:t>
            </w:r>
          </w:p>
          <w:p w:rsidR="0020248B" w:rsidRPr="003D43F6" w:rsidRDefault="0020248B" w:rsidP="003D43F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Davis A., 2007: Public Relations, Polskie Wydawnictwo Ekonomiczne, Warszawa</w:t>
            </w:r>
          </w:p>
          <w:p w:rsidR="0020248B" w:rsidRPr="003D43F6" w:rsidRDefault="0020248B" w:rsidP="003D43F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Green A., 2004: Kreatywność w Public Relations, Polskie Wydawnictwo Ekonomiczne, Warszawa</w:t>
            </w:r>
          </w:p>
          <w:p w:rsidR="0020248B" w:rsidRPr="003D43F6" w:rsidRDefault="0020248B" w:rsidP="003D43F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Kaczmarek-Śliwińska M., 2014: Public relations organizacji w zarządzaniu sytuacjami kryzysowymi komunikacja, Wydawnictwo Wolters Kluwer, Warszawa</w:t>
            </w:r>
          </w:p>
          <w:p w:rsidR="0020248B" w:rsidRPr="003D43F6" w:rsidRDefault="0020248B" w:rsidP="003D43F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Miotk A., 2012: Badania w public relations. Wprowadzenie, Wydawnictwo Difin, Warszawa</w:t>
            </w:r>
          </w:p>
          <w:p w:rsidR="0020248B" w:rsidRPr="003D43F6" w:rsidRDefault="0020248B" w:rsidP="003D43F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Murdoch A., 1998: Język Public Relations: Jak promować firmę, Poltext, Warszawa</w:t>
            </w:r>
          </w:p>
          <w:p w:rsidR="00C65389" w:rsidRPr="000100F2" w:rsidRDefault="0020248B" w:rsidP="003D43F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Olędzki J., Tworzydło D. (red.),2010: Public relations. Znaczenie społeczne i kierunki rozwoju, PWN</w:t>
            </w:r>
          </w:p>
        </w:tc>
      </w:tr>
    </w:tbl>
    <w:p w:rsidR="000F4581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3D43F6" w:rsidRDefault="003D43F6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3D43F6" w:rsidRPr="000100F2" w:rsidRDefault="003D43F6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 w:rsidRPr="000100F2">
        <w:rPr>
          <w:rFonts w:ascii="Times New Roman" w:eastAsia="Times New Roman" w:hAnsi="Times New Roman"/>
        </w:rPr>
        <w:t>Wykaz literatury uzupełniającej</w:t>
      </w: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F4581" w:rsidRPr="000100F2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0248B" w:rsidRPr="003D43F6" w:rsidRDefault="0020248B" w:rsidP="003D43F6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Murdoch A., 2002: Prezentacje i wystąpienia w public relations, Poltext, Warszawa</w:t>
            </w:r>
          </w:p>
          <w:p w:rsidR="0020248B" w:rsidRPr="003D43F6" w:rsidRDefault="0020248B" w:rsidP="003D43F6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Murdoch A., 2003: Komunikowanie w kryzysie. Jak ratować wizerunek firmy, Poltext, Warszawa</w:t>
            </w:r>
          </w:p>
          <w:p w:rsidR="0020248B" w:rsidRPr="003D43F6" w:rsidRDefault="0020248B" w:rsidP="003D43F6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Olivier S., 2005: Strategie Public Relations, Polskie Wydawnictwo Ekonomiczne, Warszawa</w:t>
            </w:r>
          </w:p>
          <w:p w:rsidR="0020248B" w:rsidRPr="003D43F6" w:rsidRDefault="0020248B" w:rsidP="003D43F6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organizacji. Sztuka komunikowania się, Wydawnictwo Difin, Warszawa</w:t>
            </w:r>
          </w:p>
          <w:p w:rsidR="0020248B" w:rsidRPr="003D43F6" w:rsidRDefault="0020248B" w:rsidP="003D43F6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val="en-GB" w:eastAsia="pl-PL"/>
              </w:rPr>
              <w:t xml:space="preserve">Piechota G. (red), 2011: Public relations. </w:t>
            </w: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Konteksty międzykulturowe i międzynarodowe, Wydawnictwo</w:t>
            </w:r>
          </w:p>
          <w:p w:rsidR="000F4581" w:rsidRPr="003D43F6" w:rsidRDefault="0020248B" w:rsidP="003D43F6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rPr>
                <w:rFonts w:ascii="Times New Roman" w:eastAsia="DejaVuSans" w:hAnsi="Times New Roman"/>
                <w:lang w:eastAsia="pl-PL"/>
              </w:rPr>
            </w:pPr>
            <w:r w:rsidRPr="003D43F6">
              <w:rPr>
                <w:rFonts w:ascii="Times New Roman" w:eastAsia="DejaVuSans" w:hAnsi="Times New Roman"/>
                <w:sz w:val="24"/>
                <w:szCs w:val="24"/>
                <w:lang w:eastAsia="pl-PL"/>
              </w:rPr>
              <w:t>Podobas I., 2011: Public Relations jako narzędzie kreowania wizerunku partii politycznych, Difin</w:t>
            </w:r>
            <w:r w:rsidRPr="000100F2">
              <w:rPr>
                <w:rFonts w:ascii="Times New Roman" w:eastAsia="DejaVuSans" w:hAnsi="Times New Roman"/>
                <w:lang w:eastAsia="pl-PL"/>
              </w:rPr>
              <w:t>,</w:t>
            </w:r>
          </w:p>
        </w:tc>
      </w:tr>
    </w:tbl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3D43F6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  <w:r w:rsidR="000F4581" w:rsidRPr="000100F2">
        <w:rPr>
          <w:rFonts w:ascii="Times New Roman" w:eastAsia="Times New Roman" w:hAnsi="Times New Roman"/>
        </w:rPr>
        <w:lastRenderedPageBreak/>
        <w:t>Bilans godzinowy zgodny z CNPS (Całkowity Nakład Pracy Studenta)</w:t>
      </w:r>
    </w:p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0F4581" w:rsidRPr="000100F2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pacing w:after="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0100F2" w:rsidRDefault="00CE1557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Audytorium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CE1557" w:rsidP="00F00ACC">
            <w:pPr>
              <w:spacing w:after="0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0F4581" w:rsidRPr="000100F2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napToGrid w:val="0"/>
              <w:spacing w:after="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CE1557" w:rsidP="00F00AC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F4581" w:rsidRPr="000100F2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napToGrid w:val="0"/>
              <w:spacing w:after="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3D43F6" w:rsidP="00F00ACC">
            <w:pPr>
              <w:spacing w:after="0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E75D0" w:rsidRPr="000100F2">
              <w:rPr>
                <w:rFonts w:ascii="Times New Roman" w:hAnsi="Times New Roman"/>
              </w:rPr>
              <w:t>5</w:t>
            </w:r>
          </w:p>
        </w:tc>
      </w:tr>
      <w:tr w:rsidR="000F4581" w:rsidRPr="000100F2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pacing w:after="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3D43F6" w:rsidP="00F00ACC">
            <w:pPr>
              <w:spacing w:after="0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1557">
              <w:rPr>
                <w:rFonts w:ascii="Times New Roman" w:hAnsi="Times New Roman"/>
              </w:rPr>
              <w:t>5</w:t>
            </w:r>
          </w:p>
        </w:tc>
      </w:tr>
      <w:tr w:rsidR="000F4581" w:rsidRPr="000100F2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0F4581" w:rsidRPr="000100F2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3D43F6" w:rsidP="00F00ACC">
            <w:pPr>
              <w:spacing w:after="0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E75D0" w:rsidRPr="000100F2">
              <w:rPr>
                <w:rFonts w:ascii="Times New Roman" w:hAnsi="Times New Roman"/>
              </w:rPr>
              <w:t>5</w:t>
            </w:r>
          </w:p>
        </w:tc>
      </w:tr>
      <w:tr w:rsidR="000F4581" w:rsidRPr="000100F2">
        <w:trPr>
          <w:cantSplit/>
          <w:trHeight w:val="557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00008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Przygotowanie do egzaminu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00008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0F4581" w:rsidP="00F00ACC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0F4581" w:rsidRPr="000100F2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3D43F6" w:rsidP="00F00ACC">
            <w:pPr>
              <w:spacing w:after="0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E1557">
              <w:rPr>
                <w:rFonts w:ascii="Times New Roman" w:hAnsi="Times New Roman"/>
              </w:rPr>
              <w:t>0</w:t>
            </w:r>
          </w:p>
        </w:tc>
      </w:tr>
      <w:tr w:rsidR="000F4581" w:rsidRPr="000100F2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0100F2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0100F2">
              <w:rPr>
                <w:rFonts w:ascii="Times New Roman" w:hAnsi="Times New Roman"/>
              </w:rPr>
              <w:t>Ilość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0100F2" w:rsidRDefault="003D43F6" w:rsidP="00F00ACC">
            <w:pPr>
              <w:spacing w:after="0"/>
              <w:ind w:left="36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0F4581" w:rsidRPr="000100F2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0100F2" w:rsidRDefault="000F4581" w:rsidP="00F00ACC">
      <w:pPr>
        <w:rPr>
          <w:rFonts w:ascii="Times New Roman" w:hAnsi="Times New Roman"/>
        </w:rPr>
      </w:pPr>
    </w:p>
    <w:sectPr w:rsidR="000F4581" w:rsidRPr="000100F2" w:rsidSect="009B44A4">
      <w:footerReference w:type="default" r:id="rId7"/>
      <w:pgSz w:w="11906" w:h="16838"/>
      <w:pgMar w:top="1258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51A" w:rsidRDefault="00D6151A">
      <w:pPr>
        <w:spacing w:after="0" w:line="240" w:lineRule="auto"/>
      </w:pPr>
      <w:r>
        <w:separator/>
      </w:r>
    </w:p>
  </w:endnote>
  <w:endnote w:type="continuationSeparator" w:id="1">
    <w:p w:rsidR="00D6151A" w:rsidRDefault="00D6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mbus Roman No9 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EE"/>
    <w:family w:val="auto"/>
    <w:pitch w:val="variable"/>
    <w:sig w:usb0="00000000" w:usb1="00000000" w:usb2="00000000" w:usb3="00000000" w:csb0="0000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581" w:rsidRDefault="007E6218">
    <w:pPr>
      <w:pStyle w:val="Stopka"/>
      <w:jc w:val="right"/>
    </w:pPr>
    <w:r>
      <w:fldChar w:fldCharType="begin"/>
    </w:r>
    <w:r w:rsidR="000F4581">
      <w:instrText xml:space="preserve"> PAGE </w:instrText>
    </w:r>
    <w:r>
      <w:fldChar w:fldCharType="separate"/>
    </w:r>
    <w:r w:rsidR="008B5473">
      <w:rPr>
        <w:noProof/>
      </w:rPr>
      <w:t>1</w:t>
    </w:r>
    <w:r>
      <w:fldChar w:fldCharType="end"/>
    </w:r>
  </w:p>
  <w:p w:rsidR="000F4581" w:rsidRDefault="000F45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51A" w:rsidRDefault="00D6151A">
      <w:pPr>
        <w:spacing w:after="0" w:line="240" w:lineRule="auto"/>
      </w:pPr>
      <w:r>
        <w:separator/>
      </w:r>
    </w:p>
  </w:footnote>
  <w:footnote w:type="continuationSeparator" w:id="1">
    <w:p w:rsidR="00D6151A" w:rsidRDefault="00D61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0E96E78"/>
    <w:multiLevelType w:val="hybridMultilevel"/>
    <w:tmpl w:val="5BA66734"/>
    <w:lvl w:ilvl="0" w:tplc="C486B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E3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AC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C2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86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41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8E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26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ACA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7B40F22"/>
    <w:multiLevelType w:val="multilevel"/>
    <w:tmpl w:val="5EF2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B87B8A"/>
    <w:multiLevelType w:val="hybridMultilevel"/>
    <w:tmpl w:val="7C5C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872D5"/>
    <w:multiLevelType w:val="hybridMultilevel"/>
    <w:tmpl w:val="51A6E84E"/>
    <w:lvl w:ilvl="0" w:tplc="99C21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A7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EC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4E6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26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0D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962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AC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AA9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A53281C"/>
    <w:multiLevelType w:val="hybridMultilevel"/>
    <w:tmpl w:val="DBB89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B731F"/>
    <w:multiLevelType w:val="hybridMultilevel"/>
    <w:tmpl w:val="76506A94"/>
    <w:lvl w:ilvl="0" w:tplc="248E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4C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6E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AC9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88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CF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64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E5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6E31C58"/>
    <w:multiLevelType w:val="hybridMultilevel"/>
    <w:tmpl w:val="11265176"/>
    <w:lvl w:ilvl="0" w:tplc="821E3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C7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CD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41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41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B66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D03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6D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80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5937200"/>
    <w:multiLevelType w:val="multilevel"/>
    <w:tmpl w:val="92AC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7"/>
  </w:num>
  <w:num w:numId="11">
    <w:abstractNumId w:val="13"/>
  </w:num>
  <w:num w:numId="12">
    <w:abstractNumId w:val="8"/>
  </w:num>
  <w:num w:numId="13">
    <w:abstractNumId w:val="14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905"/>
    <w:rsid w:val="000100F2"/>
    <w:rsid w:val="00014905"/>
    <w:rsid w:val="000C7F53"/>
    <w:rsid w:val="000F4581"/>
    <w:rsid w:val="000F67D7"/>
    <w:rsid w:val="0020248B"/>
    <w:rsid w:val="00243002"/>
    <w:rsid w:val="00286C21"/>
    <w:rsid w:val="00317EE2"/>
    <w:rsid w:val="003D43F6"/>
    <w:rsid w:val="004F20AD"/>
    <w:rsid w:val="006C2B36"/>
    <w:rsid w:val="006C6BF7"/>
    <w:rsid w:val="0079269A"/>
    <w:rsid w:val="007E6218"/>
    <w:rsid w:val="008B5473"/>
    <w:rsid w:val="008E75D0"/>
    <w:rsid w:val="009B44A4"/>
    <w:rsid w:val="009F68E2"/>
    <w:rsid w:val="00A05CF4"/>
    <w:rsid w:val="00A27CCA"/>
    <w:rsid w:val="00B64669"/>
    <w:rsid w:val="00C54C39"/>
    <w:rsid w:val="00C57903"/>
    <w:rsid w:val="00C65389"/>
    <w:rsid w:val="00C97857"/>
    <w:rsid w:val="00CE1557"/>
    <w:rsid w:val="00D6151A"/>
    <w:rsid w:val="00DC0735"/>
    <w:rsid w:val="00E66F4A"/>
    <w:rsid w:val="00E739A9"/>
    <w:rsid w:val="00E85FCD"/>
    <w:rsid w:val="00E977C8"/>
    <w:rsid w:val="00EB1031"/>
    <w:rsid w:val="00F00ACC"/>
    <w:rsid w:val="00F30227"/>
    <w:rsid w:val="00F679D6"/>
    <w:rsid w:val="00F81F15"/>
    <w:rsid w:val="00F939B0"/>
    <w:rsid w:val="00FB5AFD"/>
    <w:rsid w:val="00FD0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48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9B44A4"/>
    <w:pPr>
      <w:keepNext/>
      <w:widowControl w:val="0"/>
      <w:tabs>
        <w:tab w:val="num" w:pos="432"/>
      </w:tabs>
      <w:spacing w:after="0" w:line="240" w:lineRule="auto"/>
      <w:ind w:left="432" w:hanging="432"/>
      <w:jc w:val="right"/>
      <w:outlineLvl w:val="0"/>
    </w:pPr>
    <w:rPr>
      <w:rFonts w:ascii="Arial" w:eastAsia="Times New Roman" w:hAnsi="Arial" w:cs="Arial"/>
      <w:i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9B44A4"/>
    <w:rPr>
      <w:rFonts w:ascii="Symbol" w:hAnsi="Symbol" w:cs="Symbol"/>
      <w:sz w:val="20"/>
    </w:rPr>
  </w:style>
  <w:style w:type="character" w:customStyle="1" w:styleId="WW8Num5z1">
    <w:name w:val="WW8Num5z1"/>
    <w:rsid w:val="009B44A4"/>
    <w:rPr>
      <w:rFonts w:ascii="Courier New" w:hAnsi="Courier New" w:cs="Courier New"/>
      <w:sz w:val="20"/>
    </w:rPr>
  </w:style>
  <w:style w:type="character" w:customStyle="1" w:styleId="WW8Num5z2">
    <w:name w:val="WW8Num5z2"/>
    <w:rsid w:val="009B44A4"/>
    <w:rPr>
      <w:rFonts w:ascii="Wingdings" w:hAnsi="Wingdings" w:cs="Wingdings"/>
      <w:sz w:val="20"/>
    </w:rPr>
  </w:style>
  <w:style w:type="character" w:customStyle="1" w:styleId="Domylnaczcionkaakapitu1">
    <w:name w:val="Domyślna czcionka akapitu1"/>
    <w:rsid w:val="009B44A4"/>
  </w:style>
  <w:style w:type="character" w:customStyle="1" w:styleId="NagwekZnak">
    <w:name w:val="Nagłówek Znak"/>
    <w:basedOn w:val="Domylnaczcionkaakapitu1"/>
    <w:rsid w:val="009B44A4"/>
  </w:style>
  <w:style w:type="character" w:customStyle="1" w:styleId="StopkaZnak">
    <w:name w:val="Stopka Znak"/>
    <w:basedOn w:val="Domylnaczcionkaakapitu1"/>
    <w:rsid w:val="009B44A4"/>
  </w:style>
  <w:style w:type="character" w:styleId="Wyrnieniedelikatne">
    <w:name w:val="Subtle Emphasis"/>
    <w:qFormat/>
    <w:rsid w:val="009B44A4"/>
    <w:rPr>
      <w:i/>
      <w:iCs/>
      <w:color w:val="808080"/>
    </w:rPr>
  </w:style>
  <w:style w:type="character" w:customStyle="1" w:styleId="Znakinumeracji">
    <w:name w:val="Znaki numeracji"/>
    <w:rsid w:val="009B44A4"/>
  </w:style>
  <w:style w:type="paragraph" w:customStyle="1" w:styleId="Nagwek10">
    <w:name w:val="Nagłówek1"/>
    <w:basedOn w:val="Normalny"/>
    <w:next w:val="Tekstpodstawowy"/>
    <w:rsid w:val="009B44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9B44A4"/>
    <w:pPr>
      <w:spacing w:after="120"/>
    </w:pPr>
  </w:style>
  <w:style w:type="paragraph" w:styleId="Lista">
    <w:name w:val="List"/>
    <w:basedOn w:val="Tekstpodstawowy"/>
    <w:rsid w:val="009B44A4"/>
    <w:rPr>
      <w:rFonts w:cs="Mangal"/>
    </w:rPr>
  </w:style>
  <w:style w:type="paragraph" w:customStyle="1" w:styleId="Podpis1">
    <w:name w:val="Podpis1"/>
    <w:basedOn w:val="Normalny"/>
    <w:rsid w:val="009B44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B44A4"/>
    <w:pPr>
      <w:suppressLineNumbers/>
    </w:pPr>
    <w:rPr>
      <w:rFonts w:cs="Mangal"/>
    </w:rPr>
  </w:style>
  <w:style w:type="paragraph" w:styleId="Nagwek">
    <w:name w:val="header"/>
    <w:basedOn w:val="Normalny"/>
    <w:rsid w:val="009B44A4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9B44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rsid w:val="009B44A4"/>
    <w:pPr>
      <w:suppressLineNumbers/>
    </w:pPr>
  </w:style>
  <w:style w:type="paragraph" w:customStyle="1" w:styleId="Nagwektabeli">
    <w:name w:val="Nagłówek tabeli"/>
    <w:basedOn w:val="Zawartotabeli"/>
    <w:rsid w:val="009B44A4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E977C8"/>
    <w:rPr>
      <w:color w:val="0563C1"/>
      <w:u w:val="single"/>
    </w:rPr>
  </w:style>
  <w:style w:type="character" w:customStyle="1" w:styleId="Odwoaniedokomentarza1">
    <w:name w:val="Odwołanie do komentarza1"/>
    <w:rsid w:val="00E739A9"/>
    <w:rPr>
      <w:sz w:val="16"/>
      <w:szCs w:val="16"/>
    </w:rPr>
  </w:style>
  <w:style w:type="paragraph" w:customStyle="1" w:styleId="Nagwkitablic">
    <w:name w:val="Nagłówki tablic"/>
    <w:basedOn w:val="Tekstpodstawowy"/>
    <w:rsid w:val="00E739A9"/>
    <w:pPr>
      <w:tabs>
        <w:tab w:val="left" w:pos="-5814"/>
      </w:tabs>
      <w:suppressAutoHyphens w:val="0"/>
      <w:overflowPunct w:val="0"/>
      <w:spacing w:after="0" w:line="240" w:lineRule="auto"/>
      <w:jc w:val="center"/>
      <w:textAlignment w:val="baseline"/>
    </w:pPr>
    <w:rPr>
      <w:rFonts w:ascii="Nimbus Roman No9 L" w:eastAsia="DejaVu Sans" w:hAnsi="Nimbus Roman No9 L" w:cs="DejaVu Sans"/>
      <w:b/>
      <w:kern w:val="2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81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6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/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grzegorz kubinski</cp:lastModifiedBy>
  <cp:revision>5</cp:revision>
  <cp:lastPrinted>2017-01-10T11:55:00Z</cp:lastPrinted>
  <dcterms:created xsi:type="dcterms:W3CDTF">2022-03-25T11:28:00Z</dcterms:created>
  <dcterms:modified xsi:type="dcterms:W3CDTF">2025-10-25T11:41:00Z</dcterms:modified>
</cp:coreProperties>
</file>