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4F21B4" w:rsidTr="00BD4E5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F21B4" w:rsidRPr="00160A19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Kultura popularna a nowe media</w:t>
            </w:r>
          </w:p>
        </w:tc>
        <w:tc>
          <w:tcPr>
            <w:tcW w:w="7655" w:type="dxa"/>
            <w:vAlign w:val="center"/>
          </w:tcPr>
          <w:p w:rsidR="004F21B4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1B4" w:rsidRPr="00006E12" w:rsidTr="00BD4E5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F21B4" w:rsidRPr="00B241A1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Popular culture and the new media</w:t>
            </w:r>
          </w:p>
        </w:tc>
        <w:tc>
          <w:tcPr>
            <w:tcW w:w="7655" w:type="dxa"/>
            <w:vAlign w:val="center"/>
          </w:tcPr>
          <w:p w:rsidR="004F21B4" w:rsidRPr="00B241A1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03F50" w:rsidRPr="00B241A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21B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hab.</w:t>
            </w:r>
            <w:r w:rsidR="004F2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633" w:rsidRPr="00EE4633">
              <w:rPr>
                <w:rFonts w:ascii="Arial" w:hAnsi="Arial" w:cs="Arial"/>
                <w:sz w:val="20"/>
                <w:szCs w:val="20"/>
              </w:rPr>
              <w:t>prof UKEN</w:t>
            </w:r>
            <w:r w:rsidR="00EE46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21B4">
              <w:rPr>
                <w:rFonts w:ascii="Arial" w:hAnsi="Arial" w:cs="Arial"/>
                <w:sz w:val="20"/>
                <w:szCs w:val="20"/>
              </w:rPr>
              <w:t>Marta Juza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B241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EE4633" w:rsidRPr="00EE4633">
              <w:rPr>
                <w:rFonts w:ascii="Arial" w:hAnsi="Arial" w:cs="Arial"/>
                <w:sz w:val="20"/>
                <w:szCs w:val="20"/>
              </w:rPr>
              <w:t>prof UKEN</w:t>
            </w:r>
            <w:r w:rsidR="00EE46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Marta Juza</w:t>
            </w:r>
          </w:p>
          <w:p w:rsidR="006C4D67" w:rsidRDefault="00DE022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4F21B4">
            <w:pPr>
              <w:rPr>
                <w:rFonts w:ascii="Arial" w:hAnsi="Arial" w:cs="Arial"/>
                <w:sz w:val="22"/>
                <w:szCs w:val="16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Cele</w:t>
            </w:r>
            <w:r w:rsidR="007F781B">
              <w:rPr>
                <w:rFonts w:ascii="Arial" w:hAnsi="Arial" w:cs="Arial"/>
                <w:sz w:val="20"/>
                <w:szCs w:val="20"/>
              </w:rPr>
              <w:t>m kursu jest zapoznanie osoby studiującej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z przemianami kultury popularnej w epoce nowych mediów.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poznaje charakterystykę nowych mediów i specyfikę Internetu jako platformy komunikacyjnej łączącej wiele różnych mediów. Poznaje relacje i zależności pomiędzy mediami w procesie konwergencji. Dowiaduje się, w jaki sposób mogą być tworzone i dystrybuowane treści kultury popularnej, oraz jaki wpływ ma ona na integrowanie się ludzi wokół niektórych jej treści.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posiada wiedzę na temat tego, czym charakteryzują się kultura popularna oraz nowe media, a także, na czym polegają związki pomiędzy nimi.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W02 Wie, czym charakteryzują się społeczności fanowskie, w jaki sposób wykorzystują nowe media i na czym polega ich znaczenie dla kultury popularnej.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W03 Rozumie, jakie związki łączą kulturę popularną i nowe media z kwestiami politycznymi i ideologicznymi, w tym nowymi ruchami społecznymi.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potrafi rozpoznawać i charakteryzować nowe media.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U02 Potrafi rozpoznać i zanalizować wybrane treści kultury popularnej ze wskazaniem roli nowych mediów w ich rozpowszechnianiu.</w:t>
            </w:r>
          </w:p>
        </w:tc>
        <w:tc>
          <w:tcPr>
            <w:tcW w:w="2410" w:type="dxa"/>
          </w:tcPr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4F21B4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ma świadomość znaczenia, jakie odgrywają kultura popularna i nowe media we współczesnym społeczeństwie.</w:t>
            </w:r>
          </w:p>
        </w:tc>
        <w:tc>
          <w:tcPr>
            <w:tcW w:w="2410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</w:t>
            </w:r>
            <w:r w:rsidR="007F78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0868F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868F0" w:rsidTr="000868F0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0868F0" w:rsidTr="000868F0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868F0" w:rsidTr="000868F0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4F21B4" w:rsidP="007F781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Główną metodą podczas wykładów jest prezentacja treści merytorycznych wraz z elementami konwersatorium. W ramach wykładów prezentowane są również materiały wizualne, które stanowią ilustrację dla omawianych treści. Główną metodą stosowaną podczas zaj</w:t>
            </w:r>
            <w:r w:rsidR="007F781B">
              <w:rPr>
                <w:rFonts w:ascii="Arial" w:hAnsi="Arial" w:cs="Arial"/>
                <w:sz w:val="22"/>
                <w:szCs w:val="16"/>
              </w:rPr>
              <w:t xml:space="preserve">ęć ćwiczeniowych jest dyskusja </w:t>
            </w:r>
            <w:r w:rsidRPr="004F21B4">
              <w:rPr>
                <w:rFonts w:ascii="Arial" w:hAnsi="Arial" w:cs="Arial"/>
                <w:sz w:val="22"/>
                <w:szCs w:val="16"/>
              </w:rPr>
              <w:t>oraz analiza wybranych utworów kultury popularnej w kontekście nowych mediów.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F21B4" w:rsidRPr="00160A19" w:rsidTr="00BD4E52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006E12" w:rsidRDefault="00006E12" w:rsidP="004F21B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OCENĘ</w:t>
            </w:r>
          </w:p>
          <w:p w:rsidR="004F21B4" w:rsidRPr="004F21B4" w:rsidRDefault="004F21B4" w:rsidP="004F21B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Warunkiem zaliczenia kursu jest ucze</w:t>
            </w:r>
            <w:r w:rsidR="00DF4F7B">
              <w:rPr>
                <w:rFonts w:ascii="Arial" w:hAnsi="Arial" w:cs="Arial"/>
                <w:sz w:val="22"/>
                <w:szCs w:val="16"/>
              </w:rPr>
              <w:t>stnictwo w ponad połowie zajęć</w:t>
            </w:r>
            <w:r w:rsidRPr="004F21B4">
              <w:rPr>
                <w:rFonts w:ascii="Arial" w:hAnsi="Arial" w:cs="Arial"/>
                <w:sz w:val="22"/>
                <w:szCs w:val="16"/>
              </w:rPr>
              <w:t>, aktywny udział w dyskusji oraz przedstawienie referatu na temat wybranego utworu kultury popularnej w kontekście nowych mediów.</w:t>
            </w:r>
          </w:p>
          <w:p w:rsidR="00303F50" w:rsidRDefault="004F21B4" w:rsidP="00C1034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Na ocenę końcową składają się: aktywność na zajęciach (40%) i przygotowanie referatu w grupie studentów (60%).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masowa a kultura popularna – podobieństwa i różnice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Globalizacyjny potencjał kultury popularnej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Czym są nowe media – kryteria definicyjne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Konwergencja mediów, opowieści transmedialne i intertekstualn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a fani i społeczności fanowskie. Wpływ internetu na rozwój fandomów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Kierunki rozwoju kultury popularnej w dobie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jako kultura remiksu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Przemysły kulturowe a twórczość oddolna – wzajemne relacje. Problem praw autorskich i piractwa internetowego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Polityczny i ideologiczny wymiar kultury popularnej i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i nowe media a nowe ruchy społeczne, haktywizm, cyberaktywizm</w:t>
            </w:r>
          </w:p>
          <w:p w:rsidR="00303F50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Wykorzystanie kultury popularnej i nowych mediów w przekazach perswazyjnych i propagandowych.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 (2003), Kultury kultury popularnej, Poznań: Wydawnictwo UAM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Lessig, L. (2009). Remiks. Aby sztuka i biznes rozkwitały w hybrydowej gospodarce. Warszawa: Wydawnictwo Akademickie i Profesjonalne.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Levinson, P. (2010). Nowe nowe media. Warszawa: WAM.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Manovich, L. (2006). Język nowych mediów. Warszawa: Wydawnictwo Akademickie i Profesjonalne.</w:t>
            </w:r>
          </w:p>
          <w:p w:rsidR="002A2655" w:rsidRPr="00874A79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(2012). Kultury prosumpcji. O niemożności powstania globalnych i ponadpaństwowych społeczności fanów. Warszawa: UW</w:t>
            </w:r>
          </w:p>
          <w:p w:rsidR="00874A79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Sztompka, P. (2012) Socjologia. Analiza społeczeństwa. Kraków: Znak, r. Teorie globalizacji kulturowej.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2A2655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Adamski, A. (2012) Media w analogowym i cyfrowym świecie. Warszawa: Elipsa.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(2005). Symulakry i symulacje.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(2006) Wojny w Zatoce nie było.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Castells, M. (2007). Społeczeństwo sieci.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 xml:space="preserve">Castells, M. (2013a). Sieci oburzenia i nadziei. Ruchy społeczne w erze internetu. Warszawa: </w:t>
            </w:r>
            <w:r w:rsidRPr="00874A79">
              <w:rPr>
                <w:rFonts w:ascii="Arial" w:hAnsi="Arial" w:cs="Arial"/>
                <w:sz w:val="22"/>
                <w:szCs w:val="16"/>
              </w:rPr>
              <w:lastRenderedPageBreak/>
              <w:t>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Fiske</w:t>
            </w:r>
            <w:r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Zrozumieć kulturę popularną</w:t>
            </w:r>
            <w:r w:rsidRPr="00874A79">
              <w:rPr>
                <w:rFonts w:ascii="Arial" w:hAnsi="Arial" w:cs="Arial"/>
                <w:sz w:val="22"/>
                <w:szCs w:val="16"/>
              </w:rPr>
              <w:t>, Kraków: Wydawnictwo UJ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Heath, J., Potter, A. (2010). Bunt na sprzedaż. Dlaczego kultury nie da się zagłuszyć. Warszawa: Muza.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Jawłowski, A. (2010) Dawno temu w Galaktyce Popularnej. Warszawa: Wydawnictwa Akademickie i Profesjonalne.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(2006), Popamiętane. Słownik popkultury, Gdańsk: Słowo, obraz, terytoria</w:t>
            </w:r>
          </w:p>
          <w:p w:rsidR="00DF4F7B" w:rsidRPr="00874A79" w:rsidRDefault="00DF4F7B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Krawczyk, S. (2022). Gust i prestiż. O przemianach polskiego świata fantastyki.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Lessig, L. (2005). Wolna kultura. W jaki sposób wielkie media wykorzystują technologię i prawo, aby blokować kulturę i kontrolować kreatywność. Warszawa: Wydawnictwo Akademickie i Profesjonalne.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Lievrouw, L. (2012) Media alternatywne i zaangażowanie społeczne. Warszawa: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Mar</w:t>
            </w:r>
            <w:r w:rsidRPr="00874A79">
              <w:rPr>
                <w:rFonts w:ascii="Arial" w:hAnsi="Arial" w:cs="Arial"/>
                <w:sz w:val="22"/>
                <w:szCs w:val="16"/>
              </w:rPr>
              <w:t>czewska-Rytko, M. (2014) Haktywizm. Lublin: UMCS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M. McLuhan (2001), Wybór tekstów. Poznań: Zysk i S-ka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McQuail, D. (2007). Teoria komunikowania masowego.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Nacher, A. (2012). Rubieże kultury popularnej: popkultura w świecie przepływów. Poznań: Galeria Miejska Arsenał.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Nijakowski, L. (2020) Świat po apokalipsie Społeczeństwo w świetle postapokaliptycznych tekstów kultury popularnej.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(2008). Wpływ Internetu na rozwój fandomów, czyli o tym, jak elektroniczna sieć rozwija i popularyzuje społeczności fanów.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Strinati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D.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(2001), Wprowadzenie do kultury popularnej, Poznań: Zysk i S-ka</w:t>
            </w:r>
          </w:p>
          <w:p w:rsidR="00303F50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van Dijk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Społeczne aspekty nowych mediów</w:t>
            </w:r>
            <w:r w:rsidRPr="00874A79">
              <w:rPr>
                <w:rFonts w:ascii="Arial" w:hAnsi="Arial" w:cs="Arial"/>
                <w:sz w:val="22"/>
                <w:szCs w:val="16"/>
              </w:rPr>
              <w:t>, Warszawa</w:t>
            </w:r>
          </w:p>
          <w:p w:rsidR="00DF4F7B" w:rsidRDefault="00DF4F7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Witkowski, P. (2017) Chwała supermanom. Ideologia a popkultura. Warszawa: Książka i Prasa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868F0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858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868F0" w:rsidRDefault="000868F0" w:rsidP="000868F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 – studia niestacjonarne</w:t>
      </w:r>
    </w:p>
    <w:p w:rsidR="000868F0" w:rsidRDefault="000868F0" w:rsidP="000868F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868F0" w:rsidTr="005E5FD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868F0" w:rsidTr="005E5FD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0868F0" w:rsidTr="005E5FD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868F0" w:rsidTr="005E5FD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0868F0" w:rsidRDefault="000868F0" w:rsidP="000868F0">
      <w:pPr>
        <w:pStyle w:val="Tekstdymka1"/>
        <w:rPr>
          <w:rFonts w:ascii="Arial" w:hAnsi="Arial" w:cs="Arial"/>
          <w:sz w:val="22"/>
        </w:rPr>
      </w:pPr>
    </w:p>
    <w:p w:rsidR="000868F0" w:rsidRDefault="000868F0">
      <w:pPr>
        <w:pStyle w:val="Tekstdymka1"/>
        <w:rPr>
          <w:rFonts w:ascii="Arial" w:hAnsi="Arial" w:cs="Arial"/>
          <w:sz w:val="22"/>
        </w:rPr>
      </w:pPr>
    </w:p>
    <w:sectPr w:rsidR="000868F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33A" w:rsidRDefault="00C7133A">
      <w:r>
        <w:separator/>
      </w:r>
    </w:p>
  </w:endnote>
  <w:endnote w:type="continuationSeparator" w:id="1">
    <w:p w:rsidR="00C7133A" w:rsidRDefault="00C7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D22C8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E0224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33A" w:rsidRDefault="00C7133A">
      <w:r>
        <w:separator/>
      </w:r>
    </w:p>
  </w:footnote>
  <w:footnote w:type="continuationSeparator" w:id="1">
    <w:p w:rsidR="00C7133A" w:rsidRDefault="00C71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06E12"/>
    <w:rsid w:val="000126DF"/>
    <w:rsid w:val="00027707"/>
    <w:rsid w:val="000868F0"/>
    <w:rsid w:val="000E16AB"/>
    <w:rsid w:val="00100620"/>
    <w:rsid w:val="00257A2E"/>
    <w:rsid w:val="00293D67"/>
    <w:rsid w:val="002A2655"/>
    <w:rsid w:val="002E27AE"/>
    <w:rsid w:val="00303F50"/>
    <w:rsid w:val="00334F8F"/>
    <w:rsid w:val="00345328"/>
    <w:rsid w:val="003A49DD"/>
    <w:rsid w:val="00434CDD"/>
    <w:rsid w:val="0044050E"/>
    <w:rsid w:val="004B18D2"/>
    <w:rsid w:val="004F21B4"/>
    <w:rsid w:val="00533C41"/>
    <w:rsid w:val="0058400A"/>
    <w:rsid w:val="005E5FDC"/>
    <w:rsid w:val="006C4D67"/>
    <w:rsid w:val="00700CD5"/>
    <w:rsid w:val="00716872"/>
    <w:rsid w:val="007F781B"/>
    <w:rsid w:val="00827D3B"/>
    <w:rsid w:val="00847145"/>
    <w:rsid w:val="00874A79"/>
    <w:rsid w:val="008858F5"/>
    <w:rsid w:val="008B703C"/>
    <w:rsid w:val="008D22C8"/>
    <w:rsid w:val="009026FF"/>
    <w:rsid w:val="00940C74"/>
    <w:rsid w:val="00984C8D"/>
    <w:rsid w:val="009F04D7"/>
    <w:rsid w:val="00A35A93"/>
    <w:rsid w:val="00A8544F"/>
    <w:rsid w:val="00B241A1"/>
    <w:rsid w:val="00B652A1"/>
    <w:rsid w:val="00BD4E52"/>
    <w:rsid w:val="00C02F46"/>
    <w:rsid w:val="00C1034D"/>
    <w:rsid w:val="00C226BA"/>
    <w:rsid w:val="00C406F2"/>
    <w:rsid w:val="00C7133A"/>
    <w:rsid w:val="00D32FBE"/>
    <w:rsid w:val="00DB3679"/>
    <w:rsid w:val="00DE0224"/>
    <w:rsid w:val="00DE2A4C"/>
    <w:rsid w:val="00DF4F7B"/>
    <w:rsid w:val="00E1778B"/>
    <w:rsid w:val="00E26253"/>
    <w:rsid w:val="00EB0043"/>
    <w:rsid w:val="00EE463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328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5328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45328"/>
  </w:style>
  <w:style w:type="character" w:styleId="Numerstrony">
    <w:name w:val="page number"/>
    <w:semiHidden/>
    <w:rsid w:val="00345328"/>
    <w:rPr>
      <w:sz w:val="14"/>
      <w:szCs w:val="14"/>
    </w:rPr>
  </w:style>
  <w:style w:type="paragraph" w:styleId="Tekstpodstawowy">
    <w:name w:val="Body Text"/>
    <w:basedOn w:val="Normalny"/>
    <w:semiHidden/>
    <w:rsid w:val="00345328"/>
    <w:pPr>
      <w:spacing w:after="120"/>
    </w:pPr>
  </w:style>
  <w:style w:type="paragraph" w:customStyle="1" w:styleId="Podpis1">
    <w:name w:val="Podpis1"/>
    <w:basedOn w:val="Normalny"/>
    <w:rsid w:val="0034532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34532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345328"/>
  </w:style>
  <w:style w:type="paragraph" w:styleId="Stopka">
    <w:name w:val="footer"/>
    <w:basedOn w:val="Normalny"/>
    <w:semiHidden/>
    <w:rsid w:val="00345328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345328"/>
    <w:pPr>
      <w:suppressLineNumbers/>
    </w:pPr>
  </w:style>
  <w:style w:type="paragraph" w:customStyle="1" w:styleId="Nagwektabeli">
    <w:name w:val="Nagłówek tabeli"/>
    <w:basedOn w:val="Zawartotabeli"/>
    <w:rsid w:val="0034532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45328"/>
  </w:style>
  <w:style w:type="paragraph" w:customStyle="1" w:styleId="Indeks">
    <w:name w:val="Indeks"/>
    <w:basedOn w:val="Normalny"/>
    <w:rsid w:val="00345328"/>
    <w:pPr>
      <w:suppressLineNumbers/>
    </w:pPr>
  </w:style>
  <w:style w:type="character" w:styleId="Odwoaniedokomentarza">
    <w:name w:val="annotation reference"/>
    <w:semiHidden/>
    <w:rsid w:val="003453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45328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345328"/>
    <w:rPr>
      <w:b/>
      <w:bCs/>
    </w:rPr>
  </w:style>
  <w:style w:type="paragraph" w:customStyle="1" w:styleId="Tekstdymka1">
    <w:name w:val="Tekst dymka1"/>
    <w:basedOn w:val="Normalny"/>
    <w:rsid w:val="0034532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45328"/>
    <w:rPr>
      <w:sz w:val="20"/>
      <w:szCs w:val="20"/>
    </w:rPr>
  </w:style>
  <w:style w:type="character" w:styleId="Odwoanieprzypisudolnego">
    <w:name w:val="footnote reference"/>
    <w:semiHidden/>
    <w:rsid w:val="00345328"/>
    <w:rPr>
      <w:vertAlign w:val="superscript"/>
    </w:rPr>
  </w:style>
  <w:style w:type="character" w:customStyle="1" w:styleId="StopkaZnak">
    <w:name w:val="Stopka Znak"/>
    <w:rsid w:val="0034532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2024-11-02T14:02:00Z</dcterms:created>
  <dcterms:modified xsi:type="dcterms:W3CDTF">2025-10-25T10:05:00Z</dcterms:modified>
</cp:coreProperties>
</file>