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 w:rsidP="00ED705F">
      <w:pPr>
        <w:autoSpaceDE/>
        <w:ind w:left="708"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17295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  <w:gridCol w:w="7655"/>
      </w:tblGrid>
      <w:tr w:rsidR="008E6784" w:rsidTr="00E67143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8E6784" w:rsidRDefault="008E6784" w:rsidP="008E6784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8E6784" w:rsidRPr="00AE6009" w:rsidRDefault="008E6784" w:rsidP="008E6784">
            <w:pPr>
              <w:pStyle w:val="Zawartotabeli"/>
              <w:spacing w:before="60" w:after="60"/>
              <w:jc w:val="center"/>
              <w:rPr>
                <w:sz w:val="20"/>
                <w:szCs w:val="20"/>
              </w:rPr>
            </w:pPr>
            <w:r w:rsidRPr="00AE6009">
              <w:rPr>
                <w:sz w:val="22"/>
                <w:szCs w:val="16"/>
              </w:rPr>
              <w:t>Socjologia zmian społecznych</w:t>
            </w:r>
          </w:p>
        </w:tc>
        <w:tc>
          <w:tcPr>
            <w:tcW w:w="7655" w:type="dxa"/>
            <w:vAlign w:val="center"/>
          </w:tcPr>
          <w:p w:rsidR="008E6784" w:rsidRDefault="008E6784" w:rsidP="008E6784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784" w:rsidTr="00E67143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8E6784" w:rsidRDefault="008E6784" w:rsidP="008E6784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8E6784" w:rsidRPr="00AE6009" w:rsidRDefault="008E6784" w:rsidP="008E6784">
            <w:pPr>
              <w:pStyle w:val="Zawartotabeli"/>
              <w:spacing w:before="60" w:after="60"/>
              <w:jc w:val="center"/>
              <w:rPr>
                <w:sz w:val="20"/>
                <w:szCs w:val="20"/>
              </w:rPr>
            </w:pPr>
            <w:r w:rsidRPr="00AE6009">
              <w:rPr>
                <w:i/>
                <w:iCs/>
                <w:sz w:val="18"/>
                <w:szCs w:val="16"/>
              </w:rPr>
              <w:t>Sociology of socialchange</w:t>
            </w:r>
          </w:p>
        </w:tc>
        <w:tc>
          <w:tcPr>
            <w:tcW w:w="7655" w:type="dxa"/>
            <w:vAlign w:val="center"/>
          </w:tcPr>
          <w:p w:rsidR="008E6784" w:rsidRDefault="008E6784" w:rsidP="008E6784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827D3B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827D3B" w:rsidRDefault="008E6784" w:rsidP="00C17FA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 </w:t>
            </w:r>
            <w:r w:rsidR="00C17FA6">
              <w:rPr>
                <w:rFonts w:ascii="Arial" w:hAnsi="Arial" w:cs="Arial"/>
                <w:sz w:val="20"/>
                <w:szCs w:val="20"/>
              </w:rPr>
              <w:t>hab. Marta Juza</w:t>
            </w:r>
          </w:p>
        </w:tc>
        <w:tc>
          <w:tcPr>
            <w:tcW w:w="3261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0F2BBC" w:rsidRDefault="00C17FA6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hab. Marta Juza</w:t>
            </w:r>
          </w:p>
          <w:p w:rsidR="00827D3B" w:rsidRDefault="000F2BBC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 Grzegorz Kubiński</w:t>
            </w:r>
            <w:r w:rsidR="008E678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E6784" w:rsidRDefault="008E6784" w:rsidP="0009086A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827D3B" w:rsidRDefault="009F5FF1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303F50" w:rsidRDefault="00303F50">
      <w:pPr>
        <w:jc w:val="center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303F50">
        <w:trPr>
          <w:trHeight w:val="1365"/>
        </w:trPr>
        <w:tc>
          <w:tcPr>
            <w:tcW w:w="9640" w:type="dxa"/>
          </w:tcPr>
          <w:p w:rsidR="00303F50" w:rsidRPr="0009086A" w:rsidRDefault="008E6784" w:rsidP="00082DC6">
            <w:pPr>
              <w:jc w:val="both"/>
              <w:rPr>
                <w:sz w:val="22"/>
                <w:szCs w:val="16"/>
              </w:rPr>
            </w:pPr>
            <w:r w:rsidRPr="0009086A">
              <w:rPr>
                <w:iCs/>
                <w:sz w:val="22"/>
                <w:szCs w:val="16"/>
              </w:rPr>
              <w:t xml:space="preserve">Kurs ma na celu zapoznanie </w:t>
            </w:r>
            <w:r w:rsidR="00082DC6">
              <w:rPr>
                <w:iCs/>
                <w:sz w:val="22"/>
                <w:szCs w:val="16"/>
              </w:rPr>
              <w:t xml:space="preserve">osób </w:t>
            </w:r>
            <w:r w:rsidRPr="0009086A">
              <w:rPr>
                <w:iCs/>
                <w:sz w:val="22"/>
                <w:szCs w:val="16"/>
              </w:rPr>
              <w:t>stud</w:t>
            </w:r>
            <w:r w:rsidR="00082DC6">
              <w:rPr>
                <w:iCs/>
                <w:sz w:val="22"/>
                <w:szCs w:val="16"/>
              </w:rPr>
              <w:t>iujących</w:t>
            </w:r>
            <w:r w:rsidRPr="0009086A">
              <w:rPr>
                <w:iCs/>
                <w:sz w:val="22"/>
                <w:szCs w:val="16"/>
              </w:rPr>
              <w:t xml:space="preserve"> z głównymi teoriami, koncepcjami i pojęciami stosowanymi w analizach szeroko rozumianej zmiany społecznej. </w:t>
            </w:r>
            <w:r w:rsidR="00082DC6">
              <w:rPr>
                <w:iCs/>
                <w:sz w:val="22"/>
                <w:szCs w:val="16"/>
              </w:rPr>
              <w:t>Osoby studiujące</w:t>
            </w:r>
            <w:r w:rsidRPr="0009086A">
              <w:rPr>
                <w:iCs/>
                <w:sz w:val="22"/>
                <w:szCs w:val="16"/>
              </w:rPr>
              <w:t xml:space="preserve"> poznają problematykę przekształceń na poziomie makrostrukturlanym (system światowy, globalizacja) oraz mikrostrukturalnym (zmiany w funkcjonowaniu grupy, interakcja, rytuał itd.) Uczestnicy kursu poznają najważniejsze teorie zmiany społecznej, uczą się sposobów interpretacji podstawowych przekształceń, zarówno na płaszczyźnie społecznej, jak i kulturowej, ekonomicznej i politycznej. 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17339" w:type="dxa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  <w:gridCol w:w="7699"/>
      </w:tblGrid>
      <w:tr w:rsidR="008E6784" w:rsidTr="0024179F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8E6784" w:rsidRDefault="008E6784" w:rsidP="008E6784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8E6784" w:rsidRDefault="008E6784" w:rsidP="008E6784">
            <w:pPr>
              <w:autoSpaceDE/>
              <w:snapToGrid w:val="0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Brak </w:t>
            </w:r>
          </w:p>
          <w:p w:rsidR="008E6784" w:rsidRDefault="008E6784" w:rsidP="008E6784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8E6784" w:rsidRDefault="008E6784" w:rsidP="008E6784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7699" w:type="dxa"/>
            <w:vAlign w:val="center"/>
          </w:tcPr>
          <w:p w:rsidR="008E6784" w:rsidRDefault="008E6784" w:rsidP="008E6784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8E6784" w:rsidRDefault="008E6784" w:rsidP="008E6784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8E6784" w:rsidRDefault="008E6784" w:rsidP="008E6784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8E6784" w:rsidTr="0024179F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8E6784" w:rsidRDefault="008E6784" w:rsidP="008E6784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8E6784" w:rsidRDefault="008E6784" w:rsidP="008E6784">
            <w:pPr>
              <w:autoSpaceDE/>
              <w:snapToGrid w:val="0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Brak </w:t>
            </w:r>
          </w:p>
          <w:p w:rsidR="008E6784" w:rsidRDefault="008E6784" w:rsidP="008E6784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7699" w:type="dxa"/>
            <w:vAlign w:val="center"/>
          </w:tcPr>
          <w:p w:rsidR="008E6784" w:rsidRDefault="008E6784" w:rsidP="008E6784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8E6784" w:rsidRDefault="008E6784" w:rsidP="008E6784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8E6784" w:rsidTr="0024179F">
        <w:tc>
          <w:tcPr>
            <w:tcW w:w="1941" w:type="dxa"/>
            <w:shd w:val="clear" w:color="auto" w:fill="DBE5F1"/>
            <w:vAlign w:val="center"/>
          </w:tcPr>
          <w:p w:rsidR="008E6784" w:rsidRDefault="008E6784" w:rsidP="008E6784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8E6784" w:rsidRDefault="00C17FA6" w:rsidP="008E6784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Wstęp</w:t>
            </w:r>
            <w:r w:rsidR="008E6784">
              <w:rPr>
                <w:rFonts w:ascii="Arial" w:hAnsi="Arial" w:cs="Arial"/>
                <w:sz w:val="22"/>
                <w:szCs w:val="16"/>
              </w:rPr>
              <w:t xml:space="preserve"> do socjologii</w:t>
            </w:r>
          </w:p>
          <w:p w:rsidR="008E6784" w:rsidRDefault="008E6784" w:rsidP="008E6784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7699" w:type="dxa"/>
            <w:vAlign w:val="center"/>
          </w:tcPr>
          <w:p w:rsidR="008E6784" w:rsidRDefault="008E6784" w:rsidP="008E6784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8E6784" w:rsidRDefault="008E6784" w:rsidP="008E6784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303F50" w:rsidRDefault="000E16A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303F50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838"/>
        </w:trPr>
        <w:tc>
          <w:tcPr>
            <w:tcW w:w="1979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8E6784" w:rsidRPr="0009086A" w:rsidRDefault="008E6784" w:rsidP="008E6784">
            <w:pPr>
              <w:jc w:val="both"/>
              <w:rPr>
                <w:sz w:val="22"/>
                <w:szCs w:val="16"/>
              </w:rPr>
            </w:pPr>
            <w:r w:rsidRPr="0009086A">
              <w:rPr>
                <w:sz w:val="22"/>
                <w:szCs w:val="16"/>
              </w:rPr>
              <w:t>W_01: Student</w:t>
            </w:r>
            <w:r w:rsidR="00C17FA6" w:rsidRPr="0009086A">
              <w:rPr>
                <w:sz w:val="22"/>
                <w:szCs w:val="16"/>
              </w:rPr>
              <w:t>/ka</w:t>
            </w:r>
            <w:r w:rsidRPr="0009086A">
              <w:rPr>
                <w:sz w:val="22"/>
                <w:szCs w:val="16"/>
              </w:rPr>
              <w:t xml:space="preserve"> wie czym jest zmiana społeczna, proces, rozwój, rewolucja.</w:t>
            </w:r>
          </w:p>
          <w:p w:rsidR="008E6784" w:rsidRPr="0009086A" w:rsidRDefault="008E6784" w:rsidP="008E6784">
            <w:pPr>
              <w:jc w:val="both"/>
              <w:rPr>
                <w:sz w:val="22"/>
                <w:szCs w:val="16"/>
              </w:rPr>
            </w:pPr>
          </w:p>
          <w:p w:rsidR="008E6784" w:rsidRPr="0009086A" w:rsidRDefault="008E6784" w:rsidP="008E6784">
            <w:pPr>
              <w:jc w:val="both"/>
              <w:rPr>
                <w:sz w:val="22"/>
                <w:szCs w:val="16"/>
              </w:rPr>
            </w:pPr>
            <w:r w:rsidRPr="0009086A">
              <w:rPr>
                <w:sz w:val="22"/>
                <w:szCs w:val="16"/>
              </w:rPr>
              <w:t xml:space="preserve">W_02: Potrafi przedstawić najważniejsze koncepcje teoretyczne, takie jak teoria systemu światowego, teorie modernizacji, społeczeństwa sieciowego, społeczeństwa późnonowoczesnego. </w:t>
            </w:r>
          </w:p>
          <w:p w:rsidR="008E6784" w:rsidRPr="0009086A" w:rsidRDefault="008E6784" w:rsidP="008E6784">
            <w:pPr>
              <w:jc w:val="both"/>
              <w:rPr>
                <w:sz w:val="22"/>
                <w:szCs w:val="16"/>
              </w:rPr>
            </w:pPr>
          </w:p>
          <w:p w:rsidR="00303F50" w:rsidRPr="0009086A" w:rsidRDefault="008E6784" w:rsidP="008E6784">
            <w:pPr>
              <w:jc w:val="both"/>
              <w:rPr>
                <w:sz w:val="22"/>
                <w:szCs w:val="16"/>
              </w:rPr>
            </w:pPr>
            <w:r w:rsidRPr="0009086A">
              <w:rPr>
                <w:sz w:val="22"/>
                <w:szCs w:val="16"/>
              </w:rPr>
              <w:t xml:space="preserve">W_03: Zna najważniejsze mechanizmy zmiany społecznej, zarówno na poziomie mikro, jak i makro. </w:t>
            </w:r>
          </w:p>
          <w:p w:rsidR="00303F50" w:rsidRPr="0009086A" w:rsidRDefault="00303F50">
            <w:pPr>
              <w:rPr>
                <w:sz w:val="22"/>
                <w:szCs w:val="20"/>
              </w:rPr>
            </w:pPr>
          </w:p>
        </w:tc>
        <w:tc>
          <w:tcPr>
            <w:tcW w:w="2365" w:type="dxa"/>
          </w:tcPr>
          <w:p w:rsidR="00303F50" w:rsidRDefault="008E6784" w:rsidP="008E67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K_W01, K_W03</w:t>
            </w:r>
          </w:p>
          <w:p w:rsidR="008E6784" w:rsidRDefault="008E6784" w:rsidP="008E6784">
            <w:pPr>
              <w:rPr>
                <w:rFonts w:ascii="Arial" w:hAnsi="Arial" w:cs="Arial"/>
                <w:sz w:val="20"/>
                <w:szCs w:val="20"/>
              </w:rPr>
            </w:pPr>
          </w:p>
          <w:p w:rsidR="008E6784" w:rsidRDefault="008E6784" w:rsidP="008E6784">
            <w:pPr>
              <w:rPr>
                <w:rFonts w:ascii="Arial" w:hAnsi="Arial" w:cs="Arial"/>
                <w:sz w:val="20"/>
                <w:szCs w:val="20"/>
              </w:rPr>
            </w:pPr>
          </w:p>
          <w:p w:rsidR="008E6784" w:rsidRDefault="008E6784" w:rsidP="008E67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K_W05</w:t>
            </w:r>
          </w:p>
          <w:p w:rsidR="008E6784" w:rsidRDefault="008E6784" w:rsidP="008E6784">
            <w:pPr>
              <w:rPr>
                <w:rFonts w:ascii="Arial" w:hAnsi="Arial" w:cs="Arial"/>
                <w:sz w:val="20"/>
                <w:szCs w:val="20"/>
              </w:rPr>
            </w:pPr>
          </w:p>
          <w:p w:rsidR="008E6784" w:rsidRDefault="008E6784" w:rsidP="008E6784">
            <w:pPr>
              <w:rPr>
                <w:rFonts w:ascii="Arial" w:hAnsi="Arial" w:cs="Arial"/>
                <w:sz w:val="20"/>
                <w:szCs w:val="20"/>
              </w:rPr>
            </w:pPr>
          </w:p>
          <w:p w:rsidR="008E6784" w:rsidRDefault="008E6784" w:rsidP="008E6784">
            <w:pPr>
              <w:rPr>
                <w:rFonts w:ascii="Arial" w:hAnsi="Arial" w:cs="Arial"/>
                <w:sz w:val="20"/>
                <w:szCs w:val="20"/>
              </w:rPr>
            </w:pPr>
          </w:p>
          <w:p w:rsidR="008E6784" w:rsidRDefault="008E6784" w:rsidP="008E67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K_W01, K_W03</w:t>
            </w:r>
          </w:p>
          <w:p w:rsidR="008E6784" w:rsidRDefault="008E6784" w:rsidP="008E67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2116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8E6784" w:rsidRPr="0003318C" w:rsidRDefault="008E6784" w:rsidP="008E6784">
            <w:pPr>
              <w:jc w:val="both"/>
              <w:rPr>
                <w:sz w:val="22"/>
                <w:szCs w:val="16"/>
              </w:rPr>
            </w:pPr>
            <w:r w:rsidRPr="0003318C">
              <w:rPr>
                <w:sz w:val="22"/>
                <w:szCs w:val="16"/>
              </w:rPr>
              <w:t>U_01: Student</w:t>
            </w:r>
            <w:r w:rsidR="00C17FA6" w:rsidRPr="0003318C">
              <w:rPr>
                <w:sz w:val="22"/>
                <w:szCs w:val="16"/>
              </w:rPr>
              <w:t>/ka</w:t>
            </w:r>
            <w:r w:rsidRPr="0003318C">
              <w:rPr>
                <w:sz w:val="22"/>
                <w:szCs w:val="16"/>
              </w:rPr>
              <w:t xml:space="preserve"> potrafi krytycznie opisywać i analizować podstawowe procesy i zjawiska związane z problematyką zmiany społecznej, wykorzystując teorie i pojęcia socjologiczne (np. zmiana, proces, rewolucja, system-świat, pole, habitus, kapitał etc.).</w:t>
            </w:r>
          </w:p>
          <w:p w:rsidR="008E6784" w:rsidRPr="0003318C" w:rsidRDefault="008E6784" w:rsidP="008E6784">
            <w:pPr>
              <w:jc w:val="both"/>
              <w:rPr>
                <w:sz w:val="22"/>
                <w:szCs w:val="16"/>
              </w:rPr>
            </w:pPr>
          </w:p>
          <w:p w:rsidR="008E6784" w:rsidRPr="0003318C" w:rsidRDefault="008E6784" w:rsidP="008E6784">
            <w:pPr>
              <w:jc w:val="both"/>
              <w:rPr>
                <w:sz w:val="22"/>
                <w:szCs w:val="16"/>
              </w:rPr>
            </w:pPr>
            <w:r w:rsidRPr="0003318C">
              <w:rPr>
                <w:sz w:val="22"/>
                <w:szCs w:val="16"/>
              </w:rPr>
              <w:t xml:space="preserve">U_02 : Potrafi refleksyjnie analizować artykuły i materiały źródłowe z zakresu socjologii zmian społecznych, takie jak: teksty teoretyczne, raporty instytucji krajowych i międzynarodowych, dane statystyczne, a także opinie wyrażane  w mediach elektronicznych. </w:t>
            </w:r>
          </w:p>
          <w:p w:rsidR="008E6784" w:rsidRPr="0003318C" w:rsidRDefault="008E6784" w:rsidP="008E6784">
            <w:pPr>
              <w:jc w:val="both"/>
              <w:rPr>
                <w:sz w:val="22"/>
                <w:szCs w:val="16"/>
              </w:rPr>
            </w:pPr>
          </w:p>
          <w:p w:rsidR="008E6784" w:rsidRPr="0003318C" w:rsidRDefault="008E6784" w:rsidP="008E6784">
            <w:pPr>
              <w:jc w:val="both"/>
              <w:rPr>
                <w:sz w:val="22"/>
                <w:szCs w:val="20"/>
              </w:rPr>
            </w:pPr>
            <w:r w:rsidRPr="0003318C">
              <w:rPr>
                <w:sz w:val="22"/>
                <w:szCs w:val="16"/>
              </w:rPr>
              <w:t>U_03 : Potrafi krytycznie analizować zjawiska zmiany społecznej, na poziomie mikro oraz makro (np. przemiany systemowe, rewolucje, transformacja ustrojowa, przemiany charakteru codziennych rytuałów interakcyjnych, przekształcenia w poszczególnych polach społecznych – dziennikarskim, ekonomicznym itd.)</w:t>
            </w:r>
          </w:p>
          <w:p w:rsidR="00303F50" w:rsidRPr="0003318C" w:rsidRDefault="00303F50">
            <w:pPr>
              <w:rPr>
                <w:sz w:val="22"/>
                <w:szCs w:val="20"/>
              </w:rPr>
            </w:pPr>
          </w:p>
          <w:p w:rsidR="00303F50" w:rsidRPr="0003318C" w:rsidRDefault="00303F50">
            <w:pPr>
              <w:rPr>
                <w:sz w:val="22"/>
                <w:szCs w:val="20"/>
              </w:rPr>
            </w:pPr>
          </w:p>
        </w:tc>
        <w:tc>
          <w:tcPr>
            <w:tcW w:w="2410" w:type="dxa"/>
          </w:tcPr>
          <w:p w:rsidR="00303F50" w:rsidRDefault="008E67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K_U01</w:t>
            </w:r>
          </w:p>
          <w:p w:rsidR="008E6784" w:rsidRDefault="008E6784">
            <w:pPr>
              <w:rPr>
                <w:rFonts w:ascii="Arial" w:hAnsi="Arial" w:cs="Arial"/>
                <w:sz w:val="20"/>
                <w:szCs w:val="20"/>
              </w:rPr>
            </w:pPr>
          </w:p>
          <w:p w:rsidR="008E6784" w:rsidRDefault="008E6784">
            <w:pPr>
              <w:rPr>
                <w:rFonts w:ascii="Arial" w:hAnsi="Arial" w:cs="Arial"/>
                <w:sz w:val="20"/>
                <w:szCs w:val="20"/>
              </w:rPr>
            </w:pPr>
          </w:p>
          <w:p w:rsidR="008E6784" w:rsidRDefault="008E6784">
            <w:pPr>
              <w:rPr>
                <w:rFonts w:ascii="Arial" w:hAnsi="Arial" w:cs="Arial"/>
                <w:sz w:val="20"/>
                <w:szCs w:val="20"/>
              </w:rPr>
            </w:pPr>
          </w:p>
          <w:p w:rsidR="008E6784" w:rsidRDefault="008E6784">
            <w:pPr>
              <w:rPr>
                <w:rFonts w:ascii="Arial" w:hAnsi="Arial" w:cs="Arial"/>
                <w:sz w:val="20"/>
                <w:szCs w:val="20"/>
              </w:rPr>
            </w:pPr>
          </w:p>
          <w:p w:rsidR="008E6784" w:rsidRDefault="008E6784">
            <w:pPr>
              <w:rPr>
                <w:rFonts w:ascii="Arial" w:hAnsi="Arial" w:cs="Arial"/>
                <w:sz w:val="20"/>
                <w:szCs w:val="20"/>
              </w:rPr>
            </w:pPr>
          </w:p>
          <w:p w:rsidR="008E6784" w:rsidRDefault="008E6784">
            <w:pPr>
              <w:rPr>
                <w:rFonts w:ascii="Arial" w:hAnsi="Arial" w:cs="Arial"/>
                <w:sz w:val="20"/>
                <w:szCs w:val="20"/>
              </w:rPr>
            </w:pPr>
          </w:p>
          <w:p w:rsidR="0003318C" w:rsidRDefault="0003318C">
            <w:pPr>
              <w:rPr>
                <w:rFonts w:ascii="Arial" w:hAnsi="Arial" w:cs="Arial"/>
                <w:sz w:val="20"/>
                <w:szCs w:val="20"/>
              </w:rPr>
            </w:pPr>
          </w:p>
          <w:p w:rsidR="008E6784" w:rsidRDefault="008E67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K_U04</w:t>
            </w:r>
          </w:p>
          <w:p w:rsidR="008E6784" w:rsidRDefault="008E6784">
            <w:pPr>
              <w:rPr>
                <w:rFonts w:ascii="Arial" w:hAnsi="Arial" w:cs="Arial"/>
                <w:sz w:val="20"/>
                <w:szCs w:val="20"/>
              </w:rPr>
            </w:pPr>
          </w:p>
          <w:p w:rsidR="008E6784" w:rsidRDefault="008E6784">
            <w:pPr>
              <w:rPr>
                <w:rFonts w:ascii="Arial" w:hAnsi="Arial" w:cs="Arial"/>
                <w:sz w:val="20"/>
                <w:szCs w:val="20"/>
              </w:rPr>
            </w:pPr>
          </w:p>
          <w:p w:rsidR="008E6784" w:rsidRDefault="008E6784">
            <w:pPr>
              <w:rPr>
                <w:rFonts w:ascii="Arial" w:hAnsi="Arial" w:cs="Arial"/>
                <w:sz w:val="20"/>
                <w:szCs w:val="20"/>
              </w:rPr>
            </w:pPr>
          </w:p>
          <w:p w:rsidR="008E6784" w:rsidRDefault="008E6784">
            <w:pPr>
              <w:rPr>
                <w:rFonts w:ascii="Arial" w:hAnsi="Arial" w:cs="Arial"/>
                <w:sz w:val="20"/>
                <w:szCs w:val="20"/>
              </w:rPr>
            </w:pPr>
          </w:p>
          <w:p w:rsidR="008E6784" w:rsidRDefault="008E6784">
            <w:pPr>
              <w:rPr>
                <w:rFonts w:ascii="Arial" w:hAnsi="Arial" w:cs="Arial"/>
                <w:sz w:val="20"/>
                <w:szCs w:val="20"/>
              </w:rPr>
            </w:pPr>
          </w:p>
          <w:p w:rsidR="0003318C" w:rsidRDefault="0003318C">
            <w:pPr>
              <w:rPr>
                <w:rFonts w:ascii="Arial" w:hAnsi="Arial" w:cs="Arial"/>
                <w:sz w:val="20"/>
                <w:szCs w:val="20"/>
              </w:rPr>
            </w:pPr>
          </w:p>
          <w:p w:rsidR="0003318C" w:rsidRDefault="0003318C">
            <w:pPr>
              <w:rPr>
                <w:rFonts w:ascii="Arial" w:hAnsi="Arial" w:cs="Arial"/>
                <w:sz w:val="20"/>
                <w:szCs w:val="20"/>
              </w:rPr>
            </w:pPr>
          </w:p>
          <w:p w:rsidR="0003318C" w:rsidRDefault="0003318C">
            <w:pPr>
              <w:rPr>
                <w:rFonts w:ascii="Arial" w:hAnsi="Arial" w:cs="Arial"/>
                <w:sz w:val="20"/>
                <w:szCs w:val="20"/>
              </w:rPr>
            </w:pPr>
          </w:p>
          <w:p w:rsidR="008E6784" w:rsidRDefault="008E67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K_U02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03318C" w:rsidRDefault="0003318C">
      <w:pPr>
        <w:rPr>
          <w:rFonts w:ascii="Arial" w:hAnsi="Arial" w:cs="Arial"/>
          <w:sz w:val="22"/>
          <w:szCs w:val="16"/>
        </w:rPr>
      </w:pPr>
    </w:p>
    <w:p w:rsidR="0003318C" w:rsidRDefault="0003318C">
      <w:pPr>
        <w:rPr>
          <w:rFonts w:ascii="Arial" w:hAnsi="Arial" w:cs="Arial"/>
          <w:sz w:val="22"/>
          <w:szCs w:val="16"/>
        </w:rPr>
      </w:pPr>
    </w:p>
    <w:p w:rsidR="0003318C" w:rsidRDefault="0003318C">
      <w:pPr>
        <w:rPr>
          <w:rFonts w:ascii="Arial" w:hAnsi="Arial" w:cs="Arial"/>
          <w:sz w:val="22"/>
          <w:szCs w:val="16"/>
        </w:rPr>
      </w:pPr>
    </w:p>
    <w:p w:rsidR="0003318C" w:rsidRDefault="0003318C">
      <w:pPr>
        <w:rPr>
          <w:rFonts w:ascii="Arial" w:hAnsi="Arial" w:cs="Arial"/>
          <w:sz w:val="22"/>
          <w:szCs w:val="16"/>
        </w:rPr>
      </w:pPr>
    </w:p>
    <w:p w:rsidR="0003318C" w:rsidRDefault="0003318C">
      <w:pPr>
        <w:rPr>
          <w:rFonts w:ascii="Arial" w:hAnsi="Arial" w:cs="Arial"/>
          <w:sz w:val="22"/>
          <w:szCs w:val="16"/>
        </w:rPr>
      </w:pPr>
    </w:p>
    <w:p w:rsidR="0003318C" w:rsidRDefault="0003318C">
      <w:pPr>
        <w:rPr>
          <w:rFonts w:ascii="Arial" w:hAnsi="Arial" w:cs="Arial"/>
          <w:sz w:val="22"/>
          <w:szCs w:val="16"/>
        </w:rPr>
      </w:pPr>
    </w:p>
    <w:p w:rsidR="0003318C" w:rsidRDefault="0003318C">
      <w:pPr>
        <w:rPr>
          <w:rFonts w:ascii="Arial" w:hAnsi="Arial" w:cs="Arial"/>
          <w:sz w:val="22"/>
          <w:szCs w:val="16"/>
        </w:rPr>
      </w:pPr>
    </w:p>
    <w:p w:rsidR="0003318C" w:rsidRDefault="0003318C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984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8E6784" w:rsidRPr="0003318C" w:rsidRDefault="008E6784" w:rsidP="008E6784">
            <w:pPr>
              <w:jc w:val="both"/>
              <w:rPr>
                <w:sz w:val="22"/>
                <w:szCs w:val="16"/>
              </w:rPr>
            </w:pPr>
            <w:r w:rsidRPr="0003318C">
              <w:rPr>
                <w:sz w:val="22"/>
                <w:szCs w:val="16"/>
              </w:rPr>
              <w:t>K_01: Student</w:t>
            </w:r>
            <w:r w:rsidR="00FE2B9B" w:rsidRPr="0003318C">
              <w:rPr>
                <w:sz w:val="22"/>
                <w:szCs w:val="16"/>
              </w:rPr>
              <w:t>/ka</w:t>
            </w:r>
            <w:r w:rsidRPr="0003318C">
              <w:rPr>
                <w:sz w:val="22"/>
                <w:szCs w:val="16"/>
              </w:rPr>
              <w:t xml:space="preserve"> umie refleksyjnie formułować opinie, jest otwarty na odmienne opinie, potrafi się do nich krytycznie ustosunkować podczas dyskusji</w:t>
            </w:r>
          </w:p>
          <w:p w:rsidR="008E6784" w:rsidRPr="0003318C" w:rsidRDefault="008E6784" w:rsidP="008E6784">
            <w:pPr>
              <w:jc w:val="both"/>
              <w:rPr>
                <w:sz w:val="22"/>
                <w:szCs w:val="16"/>
              </w:rPr>
            </w:pPr>
          </w:p>
          <w:p w:rsidR="008E6784" w:rsidRPr="0003318C" w:rsidRDefault="008E6784" w:rsidP="008E6784">
            <w:pPr>
              <w:jc w:val="both"/>
              <w:rPr>
                <w:sz w:val="22"/>
                <w:szCs w:val="16"/>
              </w:rPr>
            </w:pPr>
            <w:r w:rsidRPr="0003318C">
              <w:rPr>
                <w:sz w:val="22"/>
                <w:szCs w:val="16"/>
              </w:rPr>
              <w:t xml:space="preserve">K_02: Rozumie znaczenie dyskusji jako zasadniczego kontekstu poszukiwań intelektualnych, potrafi aktywnie w niej uczestniczyć </w:t>
            </w:r>
          </w:p>
          <w:p w:rsidR="008E6784" w:rsidRPr="0003318C" w:rsidRDefault="008E6784" w:rsidP="008E6784">
            <w:pPr>
              <w:jc w:val="both"/>
              <w:rPr>
                <w:sz w:val="22"/>
                <w:szCs w:val="16"/>
              </w:rPr>
            </w:pPr>
          </w:p>
          <w:p w:rsidR="00303F50" w:rsidRPr="0003318C" w:rsidRDefault="008E6784" w:rsidP="008E6784">
            <w:pPr>
              <w:jc w:val="both"/>
              <w:rPr>
                <w:sz w:val="22"/>
                <w:szCs w:val="20"/>
              </w:rPr>
            </w:pPr>
            <w:r w:rsidRPr="0003318C">
              <w:rPr>
                <w:sz w:val="22"/>
                <w:szCs w:val="16"/>
              </w:rPr>
              <w:t>K_03: Potrafi współpracować z innymi osobami przy realizacji zadań projektowych w kilkuosobowej grupie</w:t>
            </w:r>
          </w:p>
          <w:p w:rsidR="00303F50" w:rsidRPr="0003318C" w:rsidRDefault="00303F50">
            <w:pPr>
              <w:rPr>
                <w:sz w:val="22"/>
                <w:szCs w:val="20"/>
              </w:rPr>
            </w:pPr>
          </w:p>
        </w:tc>
        <w:tc>
          <w:tcPr>
            <w:tcW w:w="2410" w:type="dxa"/>
          </w:tcPr>
          <w:p w:rsidR="00303F50" w:rsidRDefault="008E67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K_K01</w:t>
            </w:r>
          </w:p>
          <w:p w:rsidR="008E6784" w:rsidRDefault="008E6784">
            <w:pPr>
              <w:rPr>
                <w:rFonts w:ascii="Arial" w:hAnsi="Arial" w:cs="Arial"/>
                <w:sz w:val="20"/>
                <w:szCs w:val="20"/>
              </w:rPr>
            </w:pPr>
          </w:p>
          <w:p w:rsidR="008E6784" w:rsidRDefault="008E6784">
            <w:pPr>
              <w:rPr>
                <w:rFonts w:ascii="Arial" w:hAnsi="Arial" w:cs="Arial"/>
                <w:sz w:val="20"/>
                <w:szCs w:val="20"/>
              </w:rPr>
            </w:pPr>
          </w:p>
          <w:p w:rsidR="008E6784" w:rsidRDefault="008E6784">
            <w:pPr>
              <w:rPr>
                <w:rFonts w:ascii="Arial" w:hAnsi="Arial" w:cs="Arial"/>
                <w:sz w:val="20"/>
                <w:szCs w:val="20"/>
              </w:rPr>
            </w:pPr>
          </w:p>
          <w:p w:rsidR="0003318C" w:rsidRDefault="0003318C">
            <w:pPr>
              <w:rPr>
                <w:rFonts w:ascii="Arial" w:hAnsi="Arial" w:cs="Arial"/>
                <w:sz w:val="20"/>
                <w:szCs w:val="20"/>
              </w:rPr>
            </w:pPr>
          </w:p>
          <w:p w:rsidR="0003318C" w:rsidRDefault="0003318C">
            <w:pPr>
              <w:rPr>
                <w:rFonts w:ascii="Arial" w:hAnsi="Arial" w:cs="Arial"/>
                <w:sz w:val="20"/>
                <w:szCs w:val="20"/>
              </w:rPr>
            </w:pPr>
          </w:p>
          <w:p w:rsidR="008E6784" w:rsidRDefault="008E67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K_K01 </w:t>
            </w:r>
          </w:p>
          <w:p w:rsidR="008E6784" w:rsidRDefault="008E6784">
            <w:pPr>
              <w:rPr>
                <w:rFonts w:ascii="Arial" w:hAnsi="Arial" w:cs="Arial"/>
                <w:sz w:val="20"/>
                <w:szCs w:val="20"/>
              </w:rPr>
            </w:pPr>
          </w:p>
          <w:p w:rsidR="008E6784" w:rsidRDefault="008E6784">
            <w:pPr>
              <w:rPr>
                <w:rFonts w:ascii="Arial" w:hAnsi="Arial" w:cs="Arial"/>
                <w:sz w:val="20"/>
                <w:szCs w:val="20"/>
              </w:rPr>
            </w:pPr>
          </w:p>
          <w:p w:rsidR="008E6784" w:rsidRDefault="008E6784">
            <w:pPr>
              <w:rPr>
                <w:rFonts w:ascii="Arial" w:hAnsi="Arial" w:cs="Arial"/>
                <w:sz w:val="20"/>
                <w:szCs w:val="20"/>
              </w:rPr>
            </w:pPr>
          </w:p>
          <w:p w:rsidR="0003318C" w:rsidRDefault="0003318C">
            <w:pPr>
              <w:rPr>
                <w:rFonts w:ascii="Arial" w:hAnsi="Arial" w:cs="Arial"/>
                <w:sz w:val="20"/>
                <w:szCs w:val="20"/>
              </w:rPr>
            </w:pPr>
          </w:p>
          <w:p w:rsidR="008E6784" w:rsidRDefault="008E67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K_K03 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  <w:r w:rsidR="008E6784">
              <w:rPr>
                <w:rFonts w:ascii="Arial" w:hAnsi="Arial" w:cs="Arial"/>
                <w:sz w:val="20"/>
                <w:szCs w:val="20"/>
              </w:rPr>
              <w:t xml:space="preserve"> – studia stacjonarne </w:t>
            </w:r>
          </w:p>
        </w:tc>
      </w:tr>
      <w:tr w:rsidR="00303F50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303F50" w:rsidRDefault="009F5FF1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80768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62"/>
        </w:trPr>
        <w:tc>
          <w:tcPr>
            <w:tcW w:w="1611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8E6784" w:rsidTr="002117C3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E6784" w:rsidRDefault="008E6784" w:rsidP="002117C3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Organizacja – studia niestacjonarne </w:t>
            </w:r>
          </w:p>
        </w:tc>
      </w:tr>
      <w:tr w:rsidR="008E6784" w:rsidTr="002117C3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8E6784" w:rsidRDefault="008E678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8E6784" w:rsidRDefault="008E678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8E6784" w:rsidRDefault="008E678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E6784" w:rsidRDefault="008E678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8E6784" w:rsidTr="002117C3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8E6784" w:rsidRDefault="008E678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8E6784" w:rsidRDefault="008E678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E6784" w:rsidRDefault="008E678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8E6784" w:rsidRDefault="008E678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8E6784" w:rsidRDefault="008E678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8E6784" w:rsidRDefault="008E678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8E6784" w:rsidRDefault="008E678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8E6784" w:rsidRDefault="008E678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E6784" w:rsidRDefault="008E678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8E6784" w:rsidRDefault="008E678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E6784" w:rsidRDefault="008E678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8E6784" w:rsidRDefault="008E678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8E6784" w:rsidRDefault="008E678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8E6784" w:rsidRDefault="008E678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784" w:rsidTr="002117C3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8E6784" w:rsidRDefault="008E678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8E6784" w:rsidRDefault="003477DD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E6784" w:rsidRDefault="008E678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E6784" w:rsidRDefault="00807680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03" w:type="dxa"/>
            <w:gridSpan w:val="2"/>
            <w:vAlign w:val="center"/>
          </w:tcPr>
          <w:p w:rsidR="008E6784" w:rsidRDefault="008E678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E6784" w:rsidRDefault="008E678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E6784" w:rsidRDefault="008E678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E6784" w:rsidRDefault="008E678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6784" w:rsidTr="002117C3">
        <w:trPr>
          <w:trHeight w:val="462"/>
        </w:trPr>
        <w:tc>
          <w:tcPr>
            <w:tcW w:w="1611" w:type="dxa"/>
            <w:vAlign w:val="center"/>
          </w:tcPr>
          <w:p w:rsidR="008E6784" w:rsidRDefault="008E678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8E6784" w:rsidRDefault="008E678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E6784" w:rsidRDefault="008E678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E6784" w:rsidRDefault="008E678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8E6784" w:rsidRDefault="008E678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E6784" w:rsidRDefault="008E678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E6784" w:rsidRDefault="008E678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E6784" w:rsidRDefault="008E6784" w:rsidP="002117C3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E6784" w:rsidRDefault="008E6784" w:rsidP="008E6784">
      <w:pPr>
        <w:pStyle w:val="Zawartotabeli"/>
        <w:rPr>
          <w:rFonts w:ascii="Arial" w:hAnsi="Arial" w:cs="Arial"/>
          <w:sz w:val="22"/>
          <w:szCs w:val="16"/>
        </w:rPr>
      </w:pPr>
    </w:p>
    <w:p w:rsidR="008E6784" w:rsidRDefault="008E6784" w:rsidP="008E6784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920"/>
        </w:trPr>
        <w:tc>
          <w:tcPr>
            <w:tcW w:w="9622" w:type="dxa"/>
          </w:tcPr>
          <w:p w:rsidR="0014697B" w:rsidRDefault="008E6784" w:rsidP="0014697B">
            <w:pPr>
              <w:pStyle w:val="Zawartotabeli"/>
              <w:jc w:val="both"/>
              <w:rPr>
                <w:sz w:val="22"/>
                <w:szCs w:val="16"/>
              </w:rPr>
            </w:pPr>
            <w:r w:rsidRPr="0014697B">
              <w:rPr>
                <w:sz w:val="22"/>
                <w:szCs w:val="16"/>
              </w:rPr>
              <w:t xml:space="preserve">Główną metodą podczas wykładów jest metoda podawcza z elementami konwersatorium. W ramach wykładów prezentowane są również materiały wizualne i dokumenty, które stanowią ilustrację dla omawianych treści i pozwalają na zaprezentowanie praktycznych zastosowań przedstawianych koncepcji. Z kolei główną metodą podczas ćwiczeń jest krytyczna dyskusja nad zadanymi wcześniej tekstami. </w:t>
            </w:r>
          </w:p>
          <w:p w:rsidR="00303F50" w:rsidRPr="0014697B" w:rsidRDefault="008E6784" w:rsidP="00082DC6">
            <w:pPr>
              <w:pStyle w:val="Zawartotabeli"/>
              <w:jc w:val="both"/>
              <w:rPr>
                <w:sz w:val="22"/>
                <w:szCs w:val="16"/>
              </w:rPr>
            </w:pPr>
            <w:r w:rsidRPr="0014697B">
              <w:rPr>
                <w:sz w:val="22"/>
                <w:szCs w:val="16"/>
              </w:rPr>
              <w:t>W ramach zajęć prezentowane są również dodatkowe materiały</w:t>
            </w:r>
            <w:r w:rsidR="00082DC6">
              <w:rPr>
                <w:sz w:val="22"/>
                <w:szCs w:val="16"/>
              </w:rPr>
              <w:t>,</w:t>
            </w:r>
            <w:r w:rsidRPr="0014697B">
              <w:rPr>
                <w:sz w:val="22"/>
                <w:szCs w:val="16"/>
              </w:rPr>
              <w:t xml:space="preserve"> które stanowią ilustrację dla omawianych teorii. Dzięki temu studenci wykształcają umiejętność praktycznej aplikacji ujęć teoretycznych, posługiwania się nimi jako realnymi narzędziami interpretacji rzeczywistości. Kluczowa </w:t>
            </w:r>
            <w:r w:rsidR="00082DC6">
              <w:rPr>
                <w:sz w:val="22"/>
                <w:szCs w:val="16"/>
              </w:rPr>
              <w:t xml:space="preserve">w ramach tych zajęć </w:t>
            </w:r>
            <w:r w:rsidRPr="0014697B">
              <w:rPr>
                <w:sz w:val="22"/>
                <w:szCs w:val="16"/>
              </w:rPr>
              <w:t>jest umiejętność krytycznej dyskusji i refleksyjnego odnoszenia się do zróżnicowanych opinii oraz dyspozycja do uzgadniania odmiennych punktów widzenia.</w:t>
            </w: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lastRenderedPageBreak/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8E6784" w:rsidTr="0080603D">
        <w:trPr>
          <w:cantSplit/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8E6784" w:rsidRDefault="008E6784" w:rsidP="008E6784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8E6784" w:rsidTr="0080603D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8E6784" w:rsidRDefault="008E6784" w:rsidP="008E67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8E6784" w:rsidTr="0080603D">
        <w:trPr>
          <w:cantSplit/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8E6784" w:rsidRDefault="008E6784" w:rsidP="008E67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8E6784" w:rsidTr="0080603D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8E6784" w:rsidRDefault="008E6784" w:rsidP="008E67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8E6784" w:rsidTr="0080603D">
        <w:trPr>
          <w:cantSplit/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8E6784" w:rsidRDefault="008E6784" w:rsidP="008E67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</w:tr>
      <w:tr w:rsidR="008E6784" w:rsidTr="0080603D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8E6784" w:rsidRDefault="008E6784" w:rsidP="008E67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U03</w:t>
            </w:r>
          </w:p>
        </w:tc>
        <w:tc>
          <w:tcPr>
            <w:tcW w:w="666" w:type="dxa"/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8E6784" w:rsidTr="0080603D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8E6784" w:rsidRDefault="008E6784" w:rsidP="008E67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K01</w:t>
            </w:r>
          </w:p>
        </w:tc>
        <w:tc>
          <w:tcPr>
            <w:tcW w:w="666" w:type="dxa"/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</w:tr>
      <w:tr w:rsidR="008E6784" w:rsidTr="0080603D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8E6784" w:rsidRDefault="008E6784" w:rsidP="008E67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K02</w:t>
            </w:r>
          </w:p>
        </w:tc>
        <w:tc>
          <w:tcPr>
            <w:tcW w:w="666" w:type="dxa"/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</w:tr>
      <w:tr w:rsidR="008E6784" w:rsidTr="0080603D">
        <w:trPr>
          <w:cantSplit/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:rsidR="008E6784" w:rsidRDefault="008E6784" w:rsidP="008E67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K03</w:t>
            </w:r>
          </w:p>
        </w:tc>
        <w:tc>
          <w:tcPr>
            <w:tcW w:w="666" w:type="dxa"/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:rsidR="008E6784" w:rsidRDefault="008E6784" w:rsidP="008E6784">
            <w:pPr>
              <w:rPr>
                <w:rFonts w:ascii="Arial" w:hAnsi="Arial" w:cs="Arial"/>
                <w:sz w:val="22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1F648F" w:rsidRDefault="001F648F" w:rsidP="007050A7">
            <w:pPr>
              <w:pStyle w:val="Zawartotabeli"/>
              <w:spacing w:before="57" w:after="57"/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>EGZAMIN</w:t>
            </w:r>
          </w:p>
          <w:p w:rsidR="00082DC6" w:rsidRDefault="00082DC6" w:rsidP="007050A7">
            <w:pPr>
              <w:pStyle w:val="Zawartotabeli"/>
              <w:spacing w:before="57" w:after="57"/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>Podstawą oceny jest egzamin pisemny w postaci pytań otwartych. Zaliczenie wymaga uzyskania 51% punktów.</w:t>
            </w:r>
          </w:p>
          <w:p w:rsidR="00082DC6" w:rsidRDefault="00082DC6" w:rsidP="007050A7">
            <w:pPr>
              <w:pStyle w:val="Zawartotabeli"/>
              <w:spacing w:before="57" w:after="57"/>
              <w:rPr>
                <w:rFonts w:ascii="Verdana" w:hAnsi="Verdana" w:cs="Verdana"/>
                <w:color w:val="333366"/>
                <w:sz w:val="16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>Ocena końcowa może zostać podwyższona o pół stopnia osobom najaktywniejszym na zajęciach.</w:t>
            </w:r>
          </w:p>
          <w:p w:rsidR="0086588A" w:rsidRPr="0086588A" w:rsidRDefault="007050A7" w:rsidP="007050A7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Verdana" w:hAnsi="Verdana" w:cs="Verdana"/>
                <w:color w:val="333366"/>
                <w:sz w:val="16"/>
                <w:szCs w:val="16"/>
              </w:rPr>
              <w:t>Warunkiem podejścia do egzaminu jest zaliczenie ćwiczeń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17339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  <w:gridCol w:w="7699"/>
      </w:tblGrid>
      <w:tr w:rsidR="008E6784" w:rsidTr="008E6784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8E6784" w:rsidRDefault="008E6784" w:rsidP="008E6784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:rsidR="008E6784" w:rsidRDefault="008E6784" w:rsidP="00FE2B9B">
            <w:pPr>
              <w:pStyle w:val="Zawartotabeli"/>
              <w:spacing w:before="60" w:after="60"/>
              <w:rPr>
                <w:rFonts w:ascii="Arial" w:hAnsi="Arial" w:cs="Arial"/>
                <w:sz w:val="22"/>
                <w:szCs w:val="16"/>
              </w:rPr>
            </w:pPr>
          </w:p>
        </w:tc>
        <w:tc>
          <w:tcPr>
            <w:tcW w:w="7699" w:type="dxa"/>
          </w:tcPr>
          <w:p w:rsidR="008E6784" w:rsidRDefault="008E6784" w:rsidP="008E6784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:rsidR="008E6784" w:rsidRDefault="008E6784" w:rsidP="008E6784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36"/>
        </w:trPr>
        <w:tc>
          <w:tcPr>
            <w:tcW w:w="9622" w:type="dxa"/>
          </w:tcPr>
          <w:p w:rsidR="00FE2B9B" w:rsidRDefault="00FE2B9B" w:rsidP="0086588A">
            <w:pPr>
              <w:pStyle w:val="Tekstdymka1"/>
              <w:numPr>
                <w:ilvl w:val="0"/>
                <w:numId w:val="5"/>
              </w:numPr>
              <w:snapToGrid w:val="0"/>
              <w:rPr>
                <w:rFonts w:ascii="Times New Roman" w:hAnsi="Times New Roman" w:cs="Times New Roman"/>
                <w:sz w:val="22"/>
              </w:rPr>
            </w:pPr>
            <w:r w:rsidRPr="0086588A">
              <w:rPr>
                <w:rFonts w:ascii="Times New Roman" w:hAnsi="Times New Roman" w:cs="Times New Roman"/>
                <w:sz w:val="22"/>
              </w:rPr>
              <w:t>Podstawowe pojęcia w socjologii zmian społecznych: zmiana, proces, rozwój, postęp.</w:t>
            </w:r>
          </w:p>
          <w:p w:rsidR="0083608F" w:rsidRDefault="0083608F" w:rsidP="0086588A">
            <w:pPr>
              <w:pStyle w:val="Tekstdymka1"/>
              <w:numPr>
                <w:ilvl w:val="0"/>
                <w:numId w:val="5"/>
              </w:numPr>
              <w:snapToGrid w:val="0"/>
              <w:rPr>
                <w:rFonts w:ascii="Times New Roman" w:hAnsi="Times New Roman" w:cs="Times New Roman"/>
                <w:sz w:val="22"/>
              </w:rPr>
            </w:pPr>
            <w:r w:rsidRPr="0083608F">
              <w:rPr>
                <w:rFonts w:ascii="Times New Roman" w:hAnsi="Times New Roman" w:cs="Times New Roman"/>
                <w:sz w:val="22"/>
              </w:rPr>
              <w:t>Postęp jako kategoria socjologiczna</w:t>
            </w:r>
          </w:p>
          <w:p w:rsidR="0083608F" w:rsidRPr="0086588A" w:rsidRDefault="0083608F" w:rsidP="0086588A">
            <w:pPr>
              <w:pStyle w:val="Tekstdymka1"/>
              <w:numPr>
                <w:ilvl w:val="0"/>
                <w:numId w:val="5"/>
              </w:numPr>
              <w:snapToGrid w:val="0"/>
              <w:rPr>
                <w:rFonts w:ascii="Times New Roman" w:hAnsi="Times New Roman" w:cs="Times New Roman"/>
                <w:sz w:val="22"/>
              </w:rPr>
            </w:pPr>
            <w:r w:rsidRPr="0083608F">
              <w:rPr>
                <w:rFonts w:ascii="Times New Roman" w:hAnsi="Times New Roman" w:cs="Times New Roman"/>
                <w:sz w:val="22"/>
              </w:rPr>
              <w:t>Czasowy wymiar społeczeństwa: czas społeczno-kulturowy</w:t>
            </w:r>
          </w:p>
          <w:p w:rsidR="00FE2B9B" w:rsidRDefault="00FE2B9B" w:rsidP="0086588A">
            <w:pPr>
              <w:pStyle w:val="Akapitzlist"/>
              <w:numPr>
                <w:ilvl w:val="0"/>
                <w:numId w:val="5"/>
              </w:numPr>
              <w:tabs>
                <w:tab w:val="left" w:pos="1995"/>
              </w:tabs>
              <w:rPr>
                <w:sz w:val="22"/>
                <w:szCs w:val="16"/>
              </w:rPr>
            </w:pPr>
            <w:r w:rsidRPr="0086588A">
              <w:rPr>
                <w:sz w:val="22"/>
                <w:szCs w:val="16"/>
              </w:rPr>
              <w:t>Ewolucjonizm klasyczny: założenia, przedstawiciele, przykładowe teorie</w:t>
            </w:r>
          </w:p>
          <w:p w:rsidR="0083608F" w:rsidRPr="0086588A" w:rsidRDefault="0083608F" w:rsidP="0086588A">
            <w:pPr>
              <w:pStyle w:val="Akapitzlist"/>
              <w:numPr>
                <w:ilvl w:val="0"/>
                <w:numId w:val="5"/>
              </w:numPr>
              <w:tabs>
                <w:tab w:val="left" w:pos="1995"/>
              </w:tabs>
              <w:rPr>
                <w:sz w:val="22"/>
                <w:szCs w:val="16"/>
              </w:rPr>
            </w:pPr>
            <w:r w:rsidRPr="0083608F">
              <w:rPr>
                <w:sz w:val="22"/>
                <w:szCs w:val="16"/>
              </w:rPr>
              <w:t>Ewolucjonizm socjologiczny a ewolucjonizm biologiczny</w:t>
            </w:r>
          </w:p>
          <w:p w:rsidR="00FE2B9B" w:rsidRPr="0086588A" w:rsidRDefault="00FE2B9B" w:rsidP="0086588A">
            <w:pPr>
              <w:pStyle w:val="Akapitzlist"/>
              <w:numPr>
                <w:ilvl w:val="0"/>
                <w:numId w:val="5"/>
              </w:numPr>
              <w:tabs>
                <w:tab w:val="left" w:pos="1995"/>
              </w:tabs>
              <w:rPr>
                <w:sz w:val="22"/>
                <w:szCs w:val="16"/>
              </w:rPr>
            </w:pPr>
            <w:r w:rsidRPr="0086588A">
              <w:rPr>
                <w:sz w:val="22"/>
                <w:szCs w:val="16"/>
              </w:rPr>
              <w:t>Materializm historyczny Karola Marksa jako teoria zmian społecznych</w:t>
            </w:r>
          </w:p>
          <w:p w:rsidR="00FE2B9B" w:rsidRPr="0086588A" w:rsidRDefault="00FE2B9B" w:rsidP="0086588A">
            <w:pPr>
              <w:pStyle w:val="Akapitzlist"/>
              <w:numPr>
                <w:ilvl w:val="0"/>
                <w:numId w:val="5"/>
              </w:numPr>
              <w:tabs>
                <w:tab w:val="left" w:pos="1995"/>
              </w:tabs>
              <w:rPr>
                <w:sz w:val="22"/>
                <w:szCs w:val="16"/>
              </w:rPr>
            </w:pPr>
            <w:r w:rsidRPr="0086588A">
              <w:rPr>
                <w:sz w:val="22"/>
                <w:szCs w:val="16"/>
              </w:rPr>
              <w:t>Teorie cykliczne jako teorie zmiany społecznej</w:t>
            </w:r>
          </w:p>
          <w:p w:rsidR="00FE2B9B" w:rsidRPr="0086588A" w:rsidRDefault="00FE2B9B" w:rsidP="0086588A">
            <w:pPr>
              <w:pStyle w:val="Akapitzlist"/>
              <w:numPr>
                <w:ilvl w:val="0"/>
                <w:numId w:val="5"/>
              </w:numPr>
              <w:tabs>
                <w:tab w:val="left" w:pos="1995"/>
              </w:tabs>
              <w:rPr>
                <w:sz w:val="22"/>
                <w:szCs w:val="16"/>
              </w:rPr>
            </w:pPr>
            <w:r w:rsidRPr="0086588A">
              <w:rPr>
                <w:sz w:val="22"/>
                <w:szCs w:val="16"/>
              </w:rPr>
              <w:t>Neoewolucjonizm: krytyka i uzupełnienia do ewolucjonizmu klasycznego</w:t>
            </w:r>
          </w:p>
          <w:p w:rsidR="00FE2B9B" w:rsidRPr="0086588A" w:rsidRDefault="00FE2B9B" w:rsidP="0086588A">
            <w:pPr>
              <w:pStyle w:val="Akapitzlist"/>
              <w:numPr>
                <w:ilvl w:val="0"/>
                <w:numId w:val="5"/>
              </w:numPr>
              <w:tabs>
                <w:tab w:val="left" w:pos="1995"/>
              </w:tabs>
              <w:rPr>
                <w:sz w:val="22"/>
                <w:szCs w:val="16"/>
              </w:rPr>
            </w:pPr>
            <w:r w:rsidRPr="0086588A">
              <w:rPr>
                <w:sz w:val="22"/>
                <w:szCs w:val="16"/>
              </w:rPr>
              <w:t>Teorie modernizacji i konwergencji</w:t>
            </w:r>
          </w:p>
          <w:p w:rsidR="00FE2B9B" w:rsidRDefault="00FE2B9B" w:rsidP="0086588A">
            <w:pPr>
              <w:pStyle w:val="Akapitzlist"/>
              <w:numPr>
                <w:ilvl w:val="0"/>
                <w:numId w:val="5"/>
              </w:numPr>
              <w:tabs>
                <w:tab w:val="left" w:pos="1995"/>
              </w:tabs>
              <w:rPr>
                <w:sz w:val="22"/>
                <w:szCs w:val="16"/>
              </w:rPr>
            </w:pPr>
            <w:r w:rsidRPr="0086588A">
              <w:rPr>
                <w:sz w:val="22"/>
                <w:szCs w:val="16"/>
              </w:rPr>
              <w:t>Teoria podmiotowości i endogenne czynniki zmiany społecznej</w:t>
            </w:r>
          </w:p>
          <w:p w:rsidR="0083608F" w:rsidRPr="0086588A" w:rsidRDefault="0083608F" w:rsidP="0086588A">
            <w:pPr>
              <w:pStyle w:val="Akapitzlist"/>
              <w:numPr>
                <w:ilvl w:val="0"/>
                <w:numId w:val="5"/>
              </w:numPr>
              <w:tabs>
                <w:tab w:val="left" w:pos="1995"/>
              </w:tabs>
              <w:rPr>
                <w:sz w:val="22"/>
                <w:szCs w:val="16"/>
              </w:rPr>
            </w:pPr>
            <w:r w:rsidRPr="0083608F">
              <w:rPr>
                <w:sz w:val="22"/>
                <w:szCs w:val="16"/>
              </w:rPr>
              <w:t>Determinizm techniczny i medialny</w:t>
            </w:r>
          </w:p>
          <w:p w:rsidR="00FE2B9B" w:rsidRPr="0086588A" w:rsidRDefault="00FE2B9B" w:rsidP="0086588A">
            <w:pPr>
              <w:pStyle w:val="Akapitzlist"/>
              <w:numPr>
                <w:ilvl w:val="0"/>
                <w:numId w:val="5"/>
              </w:numPr>
              <w:tabs>
                <w:tab w:val="left" w:pos="1995"/>
              </w:tabs>
              <w:rPr>
                <w:sz w:val="22"/>
                <w:szCs w:val="16"/>
              </w:rPr>
            </w:pPr>
            <w:r w:rsidRPr="0086588A">
              <w:rPr>
                <w:sz w:val="22"/>
                <w:szCs w:val="16"/>
              </w:rPr>
              <w:t>Idea stawania się społeczeństwa</w:t>
            </w:r>
          </w:p>
          <w:p w:rsidR="00FE2B9B" w:rsidRPr="0086588A" w:rsidRDefault="00FE2B9B" w:rsidP="0086588A">
            <w:pPr>
              <w:pStyle w:val="Akapitzlist"/>
              <w:numPr>
                <w:ilvl w:val="0"/>
                <w:numId w:val="5"/>
              </w:numPr>
              <w:tabs>
                <w:tab w:val="left" w:pos="1995"/>
              </w:tabs>
              <w:rPr>
                <w:sz w:val="22"/>
                <w:szCs w:val="16"/>
              </w:rPr>
            </w:pPr>
            <w:r w:rsidRPr="0086588A">
              <w:rPr>
                <w:sz w:val="22"/>
                <w:szCs w:val="16"/>
              </w:rPr>
              <w:t>Historyzm i socjologia historyczna</w:t>
            </w:r>
          </w:p>
          <w:p w:rsidR="00FE2B9B" w:rsidRPr="0086588A" w:rsidRDefault="00FE2B9B" w:rsidP="0086588A">
            <w:pPr>
              <w:pStyle w:val="Akapitzlist"/>
              <w:numPr>
                <w:ilvl w:val="0"/>
                <w:numId w:val="5"/>
              </w:numPr>
              <w:tabs>
                <w:tab w:val="left" w:pos="1995"/>
              </w:tabs>
              <w:rPr>
                <w:sz w:val="22"/>
                <w:szCs w:val="16"/>
              </w:rPr>
            </w:pPr>
            <w:r w:rsidRPr="0086588A">
              <w:rPr>
                <w:sz w:val="22"/>
                <w:szCs w:val="16"/>
              </w:rPr>
              <w:t>Ruchy społeczne jako czynniki zmiany społecznej</w:t>
            </w:r>
          </w:p>
          <w:p w:rsidR="00FE2B9B" w:rsidRDefault="00FE2B9B" w:rsidP="0086588A">
            <w:pPr>
              <w:pStyle w:val="Akapitzlist"/>
              <w:numPr>
                <w:ilvl w:val="0"/>
                <w:numId w:val="5"/>
              </w:numPr>
              <w:tabs>
                <w:tab w:val="left" w:pos="1995"/>
              </w:tabs>
              <w:rPr>
                <w:sz w:val="22"/>
                <w:szCs w:val="16"/>
              </w:rPr>
            </w:pPr>
            <w:r w:rsidRPr="0086588A">
              <w:rPr>
                <w:sz w:val="22"/>
                <w:szCs w:val="16"/>
              </w:rPr>
              <w:t>Rewolucje jako forma zmiany społecznej</w:t>
            </w:r>
          </w:p>
          <w:p w:rsidR="0083608F" w:rsidRPr="0086588A" w:rsidRDefault="0083608F" w:rsidP="0086588A">
            <w:pPr>
              <w:pStyle w:val="Akapitzlist"/>
              <w:numPr>
                <w:ilvl w:val="0"/>
                <w:numId w:val="5"/>
              </w:numPr>
              <w:tabs>
                <w:tab w:val="left" w:pos="1995"/>
              </w:tabs>
              <w:rPr>
                <w:sz w:val="22"/>
                <w:szCs w:val="16"/>
              </w:rPr>
            </w:pPr>
            <w:r w:rsidRPr="0083608F">
              <w:rPr>
                <w:sz w:val="22"/>
                <w:szCs w:val="16"/>
              </w:rPr>
              <w:t>Tradycja i nowoczesność jako kategorie socjologiczne</w:t>
            </w:r>
          </w:p>
          <w:p w:rsidR="00FE2B9B" w:rsidRPr="0086588A" w:rsidRDefault="00FE2B9B" w:rsidP="0086588A">
            <w:pPr>
              <w:pStyle w:val="Akapitzlist"/>
              <w:numPr>
                <w:ilvl w:val="0"/>
                <w:numId w:val="5"/>
              </w:numPr>
              <w:tabs>
                <w:tab w:val="left" w:pos="1995"/>
              </w:tabs>
              <w:rPr>
                <w:sz w:val="22"/>
                <w:szCs w:val="16"/>
              </w:rPr>
            </w:pPr>
            <w:r w:rsidRPr="0086588A">
              <w:rPr>
                <w:sz w:val="22"/>
                <w:szCs w:val="16"/>
              </w:rPr>
              <w:t>Nowoczesność w ujęciu historycznym i analitycznym</w:t>
            </w:r>
          </w:p>
          <w:p w:rsidR="00FE2B9B" w:rsidRPr="0086588A" w:rsidRDefault="00FE2B9B" w:rsidP="0086588A">
            <w:pPr>
              <w:pStyle w:val="Akapitzlist"/>
              <w:numPr>
                <w:ilvl w:val="0"/>
                <w:numId w:val="5"/>
              </w:numPr>
              <w:tabs>
                <w:tab w:val="left" w:pos="1995"/>
              </w:tabs>
              <w:rPr>
                <w:sz w:val="22"/>
                <w:szCs w:val="16"/>
              </w:rPr>
            </w:pPr>
            <w:r w:rsidRPr="0086588A">
              <w:rPr>
                <w:sz w:val="22"/>
                <w:szCs w:val="16"/>
              </w:rPr>
              <w:lastRenderedPageBreak/>
              <w:t>Ponowoczesność, późna nowoczesność i globalizacja</w:t>
            </w:r>
          </w:p>
          <w:p w:rsidR="00303F50" w:rsidRDefault="00FE2B9B" w:rsidP="0086588A">
            <w:pPr>
              <w:pStyle w:val="Akapitzlist"/>
              <w:numPr>
                <w:ilvl w:val="0"/>
                <w:numId w:val="5"/>
              </w:numPr>
              <w:tabs>
                <w:tab w:val="left" w:pos="1995"/>
              </w:tabs>
              <w:rPr>
                <w:sz w:val="22"/>
                <w:szCs w:val="16"/>
              </w:rPr>
            </w:pPr>
            <w:r w:rsidRPr="0086588A">
              <w:rPr>
                <w:sz w:val="22"/>
                <w:szCs w:val="16"/>
              </w:rPr>
              <w:t>Społeczeństwo współczesne: sieciowe, informacyjne, postindustrialne</w:t>
            </w:r>
          </w:p>
          <w:p w:rsidR="00FC6523" w:rsidRDefault="00FC6523" w:rsidP="0086588A">
            <w:pPr>
              <w:pStyle w:val="Akapitzlist"/>
              <w:numPr>
                <w:ilvl w:val="0"/>
                <w:numId w:val="5"/>
              </w:numPr>
              <w:tabs>
                <w:tab w:val="left" w:pos="1995"/>
              </w:tabs>
              <w:rPr>
                <w:sz w:val="22"/>
                <w:szCs w:val="16"/>
              </w:rPr>
            </w:pPr>
            <w:r w:rsidRPr="00256D11">
              <w:t>Społeczeństwo współczesne</w:t>
            </w:r>
            <w:r>
              <w:t xml:space="preserve"> jako społeczeństwo ryzyka</w:t>
            </w:r>
          </w:p>
          <w:p w:rsidR="0083608F" w:rsidRPr="0086588A" w:rsidRDefault="0083608F" w:rsidP="0086588A">
            <w:pPr>
              <w:pStyle w:val="Akapitzlist"/>
              <w:numPr>
                <w:ilvl w:val="0"/>
                <w:numId w:val="5"/>
              </w:numPr>
              <w:tabs>
                <w:tab w:val="left" w:pos="1995"/>
              </w:tabs>
              <w:rPr>
                <w:sz w:val="22"/>
                <w:szCs w:val="16"/>
              </w:rPr>
            </w:pPr>
            <w:r w:rsidRPr="0083608F">
              <w:rPr>
                <w:sz w:val="22"/>
                <w:szCs w:val="16"/>
              </w:rPr>
              <w:t>(Dla)czego się boimy? Dyskursy lęku w społeczeństwie ryzyka.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098"/>
        </w:trPr>
        <w:tc>
          <w:tcPr>
            <w:tcW w:w="9622" w:type="dxa"/>
          </w:tcPr>
          <w:p w:rsidR="007050A7" w:rsidRDefault="007050A7" w:rsidP="007050A7">
            <w:pPr>
              <w:pStyle w:val="Akapitzlist"/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 w:rsidRPr="00FE12AC">
              <w:rPr>
                <w:sz w:val="22"/>
                <w:szCs w:val="22"/>
              </w:rPr>
              <w:t xml:space="preserve">Beck U., </w:t>
            </w:r>
            <w:r w:rsidRPr="00FE12AC">
              <w:rPr>
                <w:i/>
                <w:sz w:val="22"/>
                <w:szCs w:val="22"/>
              </w:rPr>
              <w:t xml:space="preserve">Społeczeństwo światowego ryzyka, </w:t>
            </w:r>
            <w:r w:rsidRPr="00FE12AC">
              <w:rPr>
                <w:sz w:val="22"/>
                <w:szCs w:val="22"/>
              </w:rPr>
              <w:t>Warszawa 2012</w:t>
            </w:r>
          </w:p>
          <w:p w:rsidR="00326776" w:rsidRDefault="007050A7" w:rsidP="007050A7">
            <w:pPr>
              <w:pStyle w:val="Akapitzlist"/>
              <w:numPr>
                <w:ilvl w:val="0"/>
                <w:numId w:val="6"/>
              </w:numPr>
              <w:jc w:val="both"/>
              <w:rPr>
                <w:sz w:val="22"/>
                <w:szCs w:val="22"/>
              </w:rPr>
            </w:pPr>
            <w:r w:rsidRPr="007050A7">
              <w:rPr>
                <w:sz w:val="22"/>
                <w:szCs w:val="22"/>
              </w:rPr>
              <w:t xml:space="preserve">Castells M., </w:t>
            </w:r>
            <w:r w:rsidRPr="007050A7">
              <w:rPr>
                <w:i/>
                <w:sz w:val="22"/>
                <w:szCs w:val="22"/>
              </w:rPr>
              <w:t xml:space="preserve">Społeczeństwo sieci, </w:t>
            </w:r>
            <w:r w:rsidRPr="007050A7">
              <w:rPr>
                <w:sz w:val="22"/>
                <w:szCs w:val="22"/>
              </w:rPr>
              <w:t>Warszawa 2010</w:t>
            </w:r>
          </w:p>
          <w:p w:rsidR="007E3B15" w:rsidRPr="007E3B15" w:rsidRDefault="007E3B15" w:rsidP="007E3B15">
            <w:pPr>
              <w:pStyle w:val="Akapitzlis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7E3B15">
              <w:rPr>
                <w:sz w:val="22"/>
                <w:szCs w:val="22"/>
              </w:rPr>
              <w:t>Foryś G., Gorlach K., Rozwój jako ruch społeczny : wykłady o ruchach społecznych i rozwoju zrównoważonym, Wydawnictwo Naukowe Scholar, Warszawa 2023</w:t>
            </w:r>
          </w:p>
          <w:p w:rsidR="009E1E7A" w:rsidRPr="00640FD8" w:rsidRDefault="007050A7" w:rsidP="007050A7">
            <w:pPr>
              <w:pStyle w:val="Akapitzlis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Sztompka P., </w:t>
            </w:r>
            <w:r>
              <w:rPr>
                <w:rFonts w:ascii="Verdana" w:hAnsi="Verdana" w:cs="Verdana"/>
                <w:i/>
                <w:sz w:val="16"/>
                <w:szCs w:val="16"/>
              </w:rPr>
              <w:t>Socjologia zmian społecznych</w:t>
            </w:r>
            <w:r>
              <w:rPr>
                <w:rFonts w:ascii="Verdana" w:hAnsi="Verdana" w:cs="Verdana"/>
                <w:sz w:val="16"/>
                <w:szCs w:val="16"/>
              </w:rPr>
              <w:t>, Kraków 2010</w:t>
            </w:r>
          </w:p>
          <w:p w:rsidR="007050A7" w:rsidRPr="00640FD8" w:rsidRDefault="007050A7" w:rsidP="007050A7">
            <w:pPr>
              <w:pStyle w:val="Akapitzlis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7050A7">
              <w:rPr>
                <w:sz w:val="22"/>
                <w:szCs w:val="22"/>
              </w:rPr>
              <w:t>Sztompka P., Kucia, M. Socjologia. Lektury, Kraków 2006 (wybrane teksty)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12"/>
        </w:trPr>
        <w:tc>
          <w:tcPr>
            <w:tcW w:w="9622" w:type="dxa"/>
          </w:tcPr>
          <w:p w:rsidR="00DA40B5" w:rsidRDefault="00FC6523" w:rsidP="00FC6523">
            <w:pPr>
              <w:pStyle w:val="Akapitzlist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FC6523">
              <w:rPr>
                <w:sz w:val="22"/>
                <w:szCs w:val="22"/>
              </w:rPr>
              <w:t>Bauman, Z. (2000). Ponowoczesność jako źródło cierpień. Warszawa: Sic!</w:t>
            </w:r>
          </w:p>
          <w:p w:rsidR="00DA40B5" w:rsidRDefault="00DA40B5" w:rsidP="00DA40B5">
            <w:pPr>
              <w:pStyle w:val="Akapitzlist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DA40B5">
              <w:rPr>
                <w:sz w:val="22"/>
                <w:szCs w:val="22"/>
              </w:rPr>
              <w:t>Bauman, Z. (2006). Płynna nowoczesność. Kraków: Wydawnictwo Literackie</w:t>
            </w:r>
          </w:p>
          <w:p w:rsidR="007050A7" w:rsidRDefault="007050A7" w:rsidP="007050A7">
            <w:pPr>
              <w:pStyle w:val="Akapitzlist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640FD8">
              <w:rPr>
                <w:sz w:val="22"/>
                <w:szCs w:val="22"/>
              </w:rPr>
              <w:t xml:space="preserve">Bauman Z., Leoncini T., </w:t>
            </w:r>
            <w:r w:rsidRPr="00640FD8">
              <w:rPr>
                <w:i/>
                <w:sz w:val="22"/>
                <w:szCs w:val="22"/>
              </w:rPr>
              <w:t>Płynne pokolenie</w:t>
            </w:r>
            <w:r w:rsidRPr="00640FD8">
              <w:rPr>
                <w:sz w:val="22"/>
                <w:szCs w:val="22"/>
              </w:rPr>
              <w:t>, Wydawnictwo Czarna Owca, Warszawa 2018</w:t>
            </w:r>
          </w:p>
          <w:p w:rsidR="00FC6523" w:rsidRDefault="00FC6523" w:rsidP="00FC6523">
            <w:pPr>
              <w:pStyle w:val="Akapitzlist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1F648F">
              <w:rPr>
                <w:sz w:val="22"/>
                <w:szCs w:val="22"/>
                <w:lang w:val="en-US"/>
              </w:rPr>
              <w:t xml:space="preserve">Beck, U., Giddens A., Lash, S. (2009). </w:t>
            </w:r>
            <w:r w:rsidRPr="00FC6523">
              <w:rPr>
                <w:sz w:val="22"/>
                <w:szCs w:val="22"/>
              </w:rPr>
              <w:t>Modernizacja refleksyjna. Warszawa: Wydawnictwo Naukowe PWN.</w:t>
            </w:r>
          </w:p>
          <w:p w:rsidR="007E3B15" w:rsidRDefault="007E3B15" w:rsidP="00FC6523">
            <w:pPr>
              <w:pStyle w:val="Akapitzlist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7E3B15">
              <w:rPr>
                <w:sz w:val="22"/>
                <w:szCs w:val="22"/>
              </w:rPr>
              <w:t xml:space="preserve">Bell, D. (1998). </w:t>
            </w:r>
            <w:r w:rsidRPr="007E3B15">
              <w:rPr>
                <w:i/>
                <w:sz w:val="22"/>
                <w:szCs w:val="22"/>
              </w:rPr>
              <w:t>Kulturowe sprzeczności kapitalizmu</w:t>
            </w:r>
            <w:r w:rsidRPr="007E3B15">
              <w:rPr>
                <w:sz w:val="22"/>
                <w:szCs w:val="22"/>
              </w:rPr>
              <w:t>. Warszawa: Wydawnictwo Naukowe PWN.</w:t>
            </w:r>
          </w:p>
          <w:p w:rsidR="007E3B15" w:rsidRDefault="007E3B15" w:rsidP="00FC6523">
            <w:pPr>
              <w:pStyle w:val="Akapitzlist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7E3B15">
              <w:rPr>
                <w:sz w:val="22"/>
                <w:szCs w:val="22"/>
              </w:rPr>
              <w:t xml:space="preserve">Castells, M. (2013a). </w:t>
            </w:r>
            <w:r w:rsidRPr="007E3B15">
              <w:rPr>
                <w:i/>
                <w:sz w:val="22"/>
                <w:szCs w:val="22"/>
              </w:rPr>
              <w:t>Sieci oburzenia i nadziei. Ruchy społeczne w erze internetu</w:t>
            </w:r>
            <w:r w:rsidRPr="007E3B15">
              <w:rPr>
                <w:sz w:val="22"/>
                <w:szCs w:val="22"/>
              </w:rPr>
              <w:t>. Warszawa: Wydawnictwo Naukowe PWN</w:t>
            </w:r>
          </w:p>
          <w:p w:rsidR="007050A7" w:rsidRDefault="007050A7" w:rsidP="007050A7">
            <w:pPr>
              <w:pStyle w:val="Akapitzlist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326776">
              <w:rPr>
                <w:sz w:val="22"/>
                <w:szCs w:val="22"/>
              </w:rPr>
              <w:t xml:space="preserve">Connell R., </w:t>
            </w:r>
            <w:r w:rsidRPr="00326776">
              <w:rPr>
                <w:i/>
                <w:sz w:val="22"/>
                <w:szCs w:val="22"/>
              </w:rPr>
              <w:t>Teoria z globalnego Południa: w stronę ogólnoświatowej nauki o społeczeństwie</w:t>
            </w:r>
            <w:r w:rsidRPr="00326776">
              <w:rPr>
                <w:sz w:val="22"/>
                <w:szCs w:val="22"/>
              </w:rPr>
              <w:t>, Wydawnictwo Znak, Kraków 2018</w:t>
            </w:r>
          </w:p>
          <w:p w:rsidR="00FC6523" w:rsidRDefault="00FC6523" w:rsidP="00FC6523">
            <w:pPr>
              <w:pStyle w:val="Akapitzlist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FC6523">
              <w:rPr>
                <w:sz w:val="22"/>
                <w:szCs w:val="22"/>
              </w:rPr>
              <w:t>Elias, N. (2008). Społeczeństwo jednostek. Warszawa: Wydawnictwo Naukowe PWN.</w:t>
            </w:r>
          </w:p>
          <w:p w:rsidR="007050A7" w:rsidRDefault="007050A7" w:rsidP="007050A7">
            <w:pPr>
              <w:pStyle w:val="Akapitzlist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640FD8">
              <w:rPr>
                <w:sz w:val="22"/>
                <w:szCs w:val="22"/>
              </w:rPr>
              <w:t>Etzioni A.,</w:t>
            </w:r>
            <w:r w:rsidRPr="00640FD8">
              <w:rPr>
                <w:i/>
                <w:sz w:val="22"/>
                <w:szCs w:val="22"/>
              </w:rPr>
              <w:t>Aktywne społeczeństwo : teoria procesów społecznych i politycznych</w:t>
            </w:r>
            <w:r w:rsidRPr="00640FD8">
              <w:rPr>
                <w:sz w:val="22"/>
                <w:szCs w:val="22"/>
              </w:rPr>
              <w:t>, Wydawnictwo Znak, Kraków 2021</w:t>
            </w:r>
          </w:p>
          <w:p w:rsidR="00FC6523" w:rsidRDefault="00FC6523" w:rsidP="00FC6523">
            <w:pPr>
              <w:pStyle w:val="Akapitzlist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FC6523">
              <w:rPr>
                <w:sz w:val="22"/>
                <w:szCs w:val="22"/>
              </w:rPr>
              <w:t>Giddens, A. (2002) Nowoczesność i tożsamość. „Ja” i społeczeństwo w epoce późnej nowoczesności. Warszawa: Wydawnictwo Naukowe PWN.</w:t>
            </w:r>
          </w:p>
          <w:p w:rsidR="007E3B15" w:rsidRDefault="007E3B15" w:rsidP="00FC6523">
            <w:pPr>
              <w:pStyle w:val="Akapitzlist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7E3B15">
              <w:rPr>
                <w:sz w:val="22"/>
                <w:szCs w:val="22"/>
              </w:rPr>
              <w:t xml:space="preserve">Giddens, A. (2003). </w:t>
            </w:r>
            <w:r w:rsidRPr="007E3B15">
              <w:rPr>
                <w:i/>
                <w:iCs/>
                <w:sz w:val="22"/>
                <w:szCs w:val="22"/>
              </w:rPr>
              <w:t>Stanowienie społeczeństwa: zarys teorii strukturacji</w:t>
            </w:r>
            <w:r w:rsidRPr="007E3B15">
              <w:rPr>
                <w:sz w:val="22"/>
                <w:szCs w:val="22"/>
              </w:rPr>
              <w:t>. Poznań: Zysk i S-ka.</w:t>
            </w:r>
          </w:p>
          <w:p w:rsidR="007E3B15" w:rsidRPr="007E3B15" w:rsidRDefault="007E3B15" w:rsidP="007E3B15">
            <w:pPr>
              <w:pStyle w:val="Akapitzlis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7E3B15">
              <w:rPr>
                <w:sz w:val="22"/>
                <w:szCs w:val="22"/>
              </w:rPr>
              <w:t>Giddens, A. (2008). Konsekwencje nowoczesności. Kraków: Wydawnictwo Uniwersytetu Jagiellońskiego.</w:t>
            </w:r>
          </w:p>
          <w:p w:rsidR="007050A7" w:rsidRDefault="007050A7" w:rsidP="007050A7">
            <w:pPr>
              <w:pStyle w:val="Akapitzlist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7050A7">
              <w:rPr>
                <w:sz w:val="22"/>
                <w:szCs w:val="22"/>
              </w:rPr>
              <w:t>Giddens A., Klimatyczna katastrofa, Warszawa 2010</w:t>
            </w:r>
          </w:p>
          <w:p w:rsidR="007050A7" w:rsidRPr="00FE12AC" w:rsidRDefault="007050A7" w:rsidP="007050A7">
            <w:pPr>
              <w:pStyle w:val="Akapitzlist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Giddens A., SuttonPh., Socjologia (wydanie nowe), Warszawa 2012</w:t>
            </w:r>
          </w:p>
          <w:p w:rsidR="00FE12AC" w:rsidRDefault="00FE12AC" w:rsidP="007050A7">
            <w:pPr>
              <w:pStyle w:val="Akapitzlist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FE12AC">
              <w:rPr>
                <w:sz w:val="22"/>
                <w:szCs w:val="22"/>
              </w:rPr>
              <w:t xml:space="preserve">Han B-C., </w:t>
            </w:r>
            <w:r w:rsidRPr="00FE12AC">
              <w:rPr>
                <w:i/>
                <w:sz w:val="22"/>
                <w:szCs w:val="22"/>
              </w:rPr>
              <w:t>Nie(do)rzeczy</w:t>
            </w:r>
            <w:r w:rsidRPr="00FE12AC">
              <w:rPr>
                <w:sz w:val="22"/>
                <w:szCs w:val="22"/>
              </w:rPr>
              <w:t>, Wydawnictwo Uniwersytetu Łódzkiego, Łódź 2023</w:t>
            </w:r>
          </w:p>
          <w:p w:rsidR="00FC6523" w:rsidRPr="00FE12AC" w:rsidRDefault="00FC6523" w:rsidP="00FC6523">
            <w:pPr>
              <w:pStyle w:val="Akapitzlist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FC6523">
              <w:rPr>
                <w:sz w:val="22"/>
                <w:szCs w:val="22"/>
              </w:rPr>
              <w:t>Jacyno, M. (2007). Kultura indywidualizmu. Warszawa: Wydawnictwo Naukowe PWN</w:t>
            </w:r>
          </w:p>
          <w:p w:rsidR="00FE12AC" w:rsidRDefault="00FE12AC" w:rsidP="007050A7">
            <w:pPr>
              <w:pStyle w:val="Akapitzlist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FE12AC">
              <w:rPr>
                <w:sz w:val="22"/>
                <w:szCs w:val="22"/>
              </w:rPr>
              <w:t xml:space="preserve">Klein N., </w:t>
            </w:r>
            <w:r w:rsidRPr="00615B5E">
              <w:rPr>
                <w:i/>
                <w:sz w:val="22"/>
                <w:szCs w:val="22"/>
              </w:rPr>
              <w:t>Nie to za mało : jak stawić opór polityce szoku i stworzyć świat, jakiego nam trzeba</w:t>
            </w:r>
            <w:r w:rsidRPr="00FE12AC">
              <w:rPr>
                <w:sz w:val="22"/>
                <w:szCs w:val="22"/>
              </w:rPr>
              <w:t xml:space="preserve">, Muza Warszawskie Wydawnictwo Literackie, Warszawa 2018 </w:t>
            </w:r>
          </w:p>
          <w:p w:rsidR="00111FBC" w:rsidRDefault="00111FBC" w:rsidP="00111FBC">
            <w:pPr>
              <w:pStyle w:val="Akapitzlist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111FBC">
              <w:rPr>
                <w:sz w:val="22"/>
                <w:szCs w:val="22"/>
              </w:rPr>
              <w:t>Krzysztofek K., M. S. Szczepański, Zrozumieć rozwój. Od społeczeństw tradycyjnych do informacyjnych, Katowice 2005</w:t>
            </w:r>
          </w:p>
          <w:p w:rsidR="00FC6523" w:rsidRDefault="00FC6523" w:rsidP="00FC6523">
            <w:pPr>
              <w:pStyle w:val="Akapitzlist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FC6523">
              <w:rPr>
                <w:sz w:val="22"/>
                <w:szCs w:val="22"/>
              </w:rPr>
              <w:t>Marody, M. (2015). Jednostka po-nowoczesności. Perspektywa socjologiczna. Warszawa: Scholar</w:t>
            </w:r>
          </w:p>
          <w:p w:rsidR="00FC6523" w:rsidRPr="00FE12AC" w:rsidRDefault="00FC6523" w:rsidP="00FC6523">
            <w:pPr>
              <w:pStyle w:val="Akapitzlist"/>
              <w:numPr>
                <w:ilvl w:val="0"/>
                <w:numId w:val="7"/>
              </w:numPr>
              <w:jc w:val="both"/>
              <w:rPr>
                <w:sz w:val="22"/>
                <w:szCs w:val="22"/>
              </w:rPr>
            </w:pPr>
            <w:r w:rsidRPr="00FC6523">
              <w:rPr>
                <w:sz w:val="22"/>
                <w:szCs w:val="22"/>
              </w:rPr>
              <w:t>Marody M., Giza-Poleszczuk, A. (2004). Przemiany więzi społecznych. Zarys teorii zmiany społecznej. Warszawa: Scholar</w:t>
            </w:r>
          </w:p>
          <w:p w:rsidR="00FE12AC" w:rsidRPr="00DC1387" w:rsidRDefault="00FE12AC" w:rsidP="007050A7">
            <w:pPr>
              <w:pStyle w:val="Akapitzlis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FE12AC">
              <w:rPr>
                <w:sz w:val="22"/>
                <w:szCs w:val="22"/>
              </w:rPr>
              <w:t xml:space="preserve">Melosik Z., Szymański M., </w:t>
            </w:r>
            <w:r w:rsidRPr="00FE12AC">
              <w:rPr>
                <w:i/>
                <w:sz w:val="22"/>
                <w:szCs w:val="22"/>
              </w:rPr>
              <w:t>Tożsamość w warunkach zmiany społecznej</w:t>
            </w:r>
            <w:r w:rsidRPr="00FE12AC">
              <w:rPr>
                <w:sz w:val="22"/>
                <w:szCs w:val="22"/>
              </w:rPr>
              <w:t>, Wydawnictwo Akademii Pedagogiki Specjalnej, Warszawa  2016</w:t>
            </w:r>
          </w:p>
          <w:p w:rsidR="00FE2B9B" w:rsidRDefault="00FE12AC" w:rsidP="007050A7">
            <w:pPr>
              <w:pStyle w:val="Akapitzlis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FE12AC">
              <w:rPr>
                <w:sz w:val="22"/>
                <w:szCs w:val="22"/>
              </w:rPr>
              <w:t xml:space="preserve">Środa M., </w:t>
            </w:r>
            <w:r w:rsidRPr="00FE12AC">
              <w:rPr>
                <w:i/>
                <w:sz w:val="22"/>
                <w:szCs w:val="22"/>
              </w:rPr>
              <w:t>Obcy, inny, wykluczony ,</w:t>
            </w:r>
            <w:r w:rsidRPr="00FE12AC">
              <w:rPr>
                <w:sz w:val="22"/>
                <w:szCs w:val="22"/>
              </w:rPr>
              <w:t xml:space="preserve"> Wydawnictwo Słowo/Obraz Terytoria, Gdańsk  2020</w:t>
            </w:r>
          </w:p>
          <w:p w:rsidR="007E3B15" w:rsidRDefault="007E3B15" w:rsidP="007050A7">
            <w:pPr>
              <w:pStyle w:val="Akapitzlis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7E3B15">
              <w:rPr>
                <w:sz w:val="22"/>
                <w:szCs w:val="22"/>
              </w:rPr>
              <w:t xml:space="preserve">Szacki, J. (2002). </w:t>
            </w:r>
            <w:r w:rsidRPr="007E3B15">
              <w:rPr>
                <w:i/>
                <w:sz w:val="22"/>
                <w:szCs w:val="22"/>
              </w:rPr>
              <w:t>Historia myśli socjologicznej</w:t>
            </w:r>
            <w:r w:rsidRPr="007E3B15">
              <w:rPr>
                <w:sz w:val="22"/>
                <w:szCs w:val="22"/>
              </w:rPr>
              <w:t>. Warszawa: Wydawnictwo Naukowe PWN.</w:t>
            </w:r>
          </w:p>
          <w:p w:rsidR="007E3B15" w:rsidRPr="007E3B15" w:rsidRDefault="007E3B15" w:rsidP="007E3B15">
            <w:pPr>
              <w:pStyle w:val="Akapitzlis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7E3B15">
              <w:rPr>
                <w:sz w:val="22"/>
                <w:szCs w:val="22"/>
              </w:rPr>
              <w:t>Sztompka P., Socjologia. Wykłady o społeczeństwie, Wydawnictwo Znak, Kraków 2021</w:t>
            </w:r>
          </w:p>
          <w:p w:rsidR="00FC6523" w:rsidRDefault="00FC6523" w:rsidP="00FC6523">
            <w:pPr>
              <w:pStyle w:val="Akapitzlis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FC6523">
              <w:rPr>
                <w:sz w:val="22"/>
                <w:szCs w:val="22"/>
              </w:rPr>
              <w:t>Tönnies, F. (1988). Wspólnota i stowarzyszenie. Rozprawa o komunizmie i socjalizmie jako empirycznych formach kultury. Warszawa: PWN.</w:t>
            </w:r>
          </w:p>
          <w:p w:rsidR="007E3B15" w:rsidRDefault="007E3B15" w:rsidP="00FC6523">
            <w:pPr>
              <w:pStyle w:val="Akapitzlis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7E3B15">
              <w:rPr>
                <w:sz w:val="22"/>
                <w:szCs w:val="22"/>
              </w:rPr>
              <w:t xml:space="preserve">Touraine A. (2013). </w:t>
            </w:r>
            <w:r w:rsidRPr="007E3B15">
              <w:rPr>
                <w:i/>
                <w:sz w:val="22"/>
                <w:szCs w:val="22"/>
              </w:rPr>
              <w:t>Po kryzysie</w:t>
            </w:r>
            <w:r w:rsidRPr="007E3B15">
              <w:rPr>
                <w:sz w:val="22"/>
                <w:szCs w:val="22"/>
              </w:rPr>
              <w:t>. Warszawa: Oficyna Naukowa</w:t>
            </w:r>
          </w:p>
          <w:p w:rsidR="007050A7" w:rsidRDefault="007050A7" w:rsidP="007050A7">
            <w:pPr>
              <w:pStyle w:val="Akapitzlis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7050A7">
              <w:rPr>
                <w:sz w:val="22"/>
                <w:szCs w:val="22"/>
              </w:rPr>
              <w:t>Weber M., Gospodarka i społeczeństwo, Warszawa 2002</w:t>
            </w:r>
          </w:p>
          <w:p w:rsidR="007050A7" w:rsidRPr="00DC1387" w:rsidRDefault="007050A7" w:rsidP="007050A7">
            <w:pPr>
              <w:pStyle w:val="Akapitzlis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7050A7">
              <w:rPr>
                <w:sz w:val="22"/>
                <w:szCs w:val="22"/>
              </w:rPr>
              <w:t>Wallerstein I., Analiza systemów-światów. Wprowadzenie, Warszawa 2002</w:t>
            </w:r>
          </w:p>
        </w:tc>
      </w:tr>
    </w:tbl>
    <w:p w:rsidR="0009086A" w:rsidRDefault="0009086A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  <w:r w:rsidR="00E16CE8">
        <w:rPr>
          <w:rFonts w:ascii="Arial" w:hAnsi="Arial" w:cs="Arial"/>
          <w:sz w:val="22"/>
        </w:rPr>
        <w:t xml:space="preserve"> – studia stacjonarne 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303F50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303F50" w:rsidRDefault="002F2A5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303F50" w:rsidRDefault="002F2A5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BC6C1D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2F2A55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303F50" w:rsidRDefault="0036567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bookmarkStart w:id="0" w:name="_GoBack"/>
            <w:bookmarkEnd w:id="0"/>
            <w:r w:rsidR="002F2A55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4A6A01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BC6C1D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303F50" w:rsidRDefault="002F2A55" w:rsidP="00BC6C1D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BC6C1D"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303F50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303F50" w:rsidRDefault="002F2A55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</w:tbl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E16CE8" w:rsidRDefault="00E16CE8" w:rsidP="00E16CE8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Bilans godzinowy zgodny z CNPS (Całkowity Nakład Pracy Studenta) – studia niestacjonarne </w:t>
      </w:r>
    </w:p>
    <w:p w:rsidR="00E16CE8" w:rsidRDefault="00E16CE8" w:rsidP="00E16CE8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E16CE8" w:rsidTr="002117C3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E16CE8" w:rsidRDefault="00E16CE8" w:rsidP="002117C3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:rsidR="00E16CE8" w:rsidRDefault="00E16CE8" w:rsidP="002117C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E16CE8" w:rsidRDefault="00BC6C1D" w:rsidP="003477DD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E16CE8" w:rsidTr="002117C3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E16CE8" w:rsidRDefault="00E16CE8" w:rsidP="002117C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E16CE8" w:rsidRDefault="00E16CE8" w:rsidP="002117C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E16CE8" w:rsidRDefault="00BC6C1D" w:rsidP="002117C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ED705F"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E16CE8" w:rsidTr="002117C3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E16CE8" w:rsidRDefault="00E16CE8" w:rsidP="002117C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E16CE8" w:rsidRDefault="00E16CE8" w:rsidP="002117C3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E16CE8" w:rsidRDefault="00FC0F2F" w:rsidP="002117C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10</w:t>
            </w:r>
          </w:p>
        </w:tc>
      </w:tr>
      <w:tr w:rsidR="00E16CE8" w:rsidTr="002117C3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E16CE8" w:rsidRDefault="00E16CE8" w:rsidP="002117C3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:rsidR="00E16CE8" w:rsidRDefault="00E16CE8" w:rsidP="002117C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E16CE8" w:rsidRDefault="00BC6C1D" w:rsidP="002117C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E16CE8" w:rsidTr="002117C3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E16CE8" w:rsidRDefault="00E16CE8" w:rsidP="002117C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E16CE8" w:rsidRDefault="00E16CE8" w:rsidP="002117C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E16CE8" w:rsidRDefault="00FC0F2F" w:rsidP="002117C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  <w:tr w:rsidR="00E16CE8" w:rsidTr="002117C3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E16CE8" w:rsidRDefault="00E16CE8" w:rsidP="002117C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E16CE8" w:rsidRDefault="00E16CE8" w:rsidP="002117C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E16CE8" w:rsidRDefault="00FC0F2F" w:rsidP="002117C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BC6C1D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E16CE8" w:rsidTr="002117C3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E16CE8" w:rsidRDefault="00E16CE8" w:rsidP="002117C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E16CE8" w:rsidRDefault="00E16CE8" w:rsidP="002117C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E16CE8" w:rsidRDefault="00BC6C1D" w:rsidP="002117C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20</w:t>
            </w:r>
          </w:p>
        </w:tc>
      </w:tr>
      <w:tr w:rsidR="00E16CE8" w:rsidTr="002117C3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E16CE8" w:rsidRDefault="00E16CE8" w:rsidP="002117C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E16CE8" w:rsidRDefault="00FC0F2F" w:rsidP="002117C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90</w:t>
            </w:r>
          </w:p>
        </w:tc>
      </w:tr>
      <w:tr w:rsidR="00E16CE8" w:rsidTr="002117C3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E16CE8" w:rsidRDefault="00E16CE8" w:rsidP="002117C3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E16CE8" w:rsidRDefault="004A6A01" w:rsidP="002117C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5</w:t>
            </w:r>
          </w:p>
        </w:tc>
      </w:tr>
    </w:tbl>
    <w:p w:rsidR="00E16CE8" w:rsidRDefault="00E16CE8" w:rsidP="00E16CE8">
      <w:pPr>
        <w:pStyle w:val="Tekstdymka1"/>
        <w:rPr>
          <w:rFonts w:ascii="Arial" w:hAnsi="Arial" w:cs="Arial"/>
          <w:sz w:val="22"/>
        </w:rPr>
      </w:pPr>
    </w:p>
    <w:p w:rsidR="00E16CE8" w:rsidRDefault="00E16CE8">
      <w:pPr>
        <w:pStyle w:val="Tekstdymka1"/>
        <w:rPr>
          <w:rFonts w:ascii="Arial" w:hAnsi="Arial" w:cs="Arial"/>
          <w:sz w:val="22"/>
        </w:rPr>
      </w:pPr>
    </w:p>
    <w:sectPr w:rsidR="00E16CE8" w:rsidSect="00E26253">
      <w:footerReference w:type="default" r:id="rId7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5FAF" w:rsidRDefault="00575FAF">
      <w:r>
        <w:separator/>
      </w:r>
    </w:p>
  </w:endnote>
  <w:endnote w:type="continuationSeparator" w:id="1">
    <w:p w:rsidR="00575FAF" w:rsidRDefault="00575F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C8457A">
    <w:pPr>
      <w:pStyle w:val="Stopka"/>
      <w:jc w:val="right"/>
    </w:pPr>
    <w:r>
      <w:fldChar w:fldCharType="begin"/>
    </w:r>
    <w:r w:rsidR="00303F50">
      <w:instrText>PAGE   \* MERGEFORMAT</w:instrText>
    </w:r>
    <w:r>
      <w:fldChar w:fldCharType="separate"/>
    </w:r>
    <w:r w:rsidR="000F2BBC">
      <w:rPr>
        <w:noProof/>
      </w:rPr>
      <w:t>4</w:t>
    </w:r>
    <w:r>
      <w:fldChar w:fldCharType="end"/>
    </w:r>
  </w:p>
  <w:p w:rsidR="00303F50" w:rsidRDefault="00303F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5FAF" w:rsidRDefault="00575FAF">
      <w:r>
        <w:separator/>
      </w:r>
    </w:p>
  </w:footnote>
  <w:footnote w:type="continuationSeparator" w:id="1">
    <w:p w:rsidR="00575FAF" w:rsidRDefault="00575F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BE333BE"/>
    <w:multiLevelType w:val="multilevel"/>
    <w:tmpl w:val="774E8CEA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3A767121"/>
    <w:multiLevelType w:val="hybridMultilevel"/>
    <w:tmpl w:val="8A742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4A02689"/>
    <w:multiLevelType w:val="hybridMultilevel"/>
    <w:tmpl w:val="0E787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EC61D4"/>
    <w:multiLevelType w:val="hybridMultilevel"/>
    <w:tmpl w:val="61883748"/>
    <w:lvl w:ilvl="0" w:tplc="1A36DEFE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doNotUseHTMLParagraphAutoSpacing/>
  </w:compat>
  <w:rsids>
    <w:rsidRoot w:val="00700CD5"/>
    <w:rsid w:val="000100DD"/>
    <w:rsid w:val="000126DF"/>
    <w:rsid w:val="00027707"/>
    <w:rsid w:val="0003318C"/>
    <w:rsid w:val="00082DC6"/>
    <w:rsid w:val="0009086A"/>
    <w:rsid w:val="000E16AB"/>
    <w:rsid w:val="000F2BBC"/>
    <w:rsid w:val="00100620"/>
    <w:rsid w:val="00111FBC"/>
    <w:rsid w:val="00126332"/>
    <w:rsid w:val="0014697B"/>
    <w:rsid w:val="00163544"/>
    <w:rsid w:val="001C66AA"/>
    <w:rsid w:val="001F648F"/>
    <w:rsid w:val="00217908"/>
    <w:rsid w:val="00257A2E"/>
    <w:rsid w:val="00293D67"/>
    <w:rsid w:val="002F2A55"/>
    <w:rsid w:val="00302F87"/>
    <w:rsid w:val="00303F50"/>
    <w:rsid w:val="00326776"/>
    <w:rsid w:val="00334F8F"/>
    <w:rsid w:val="003477DD"/>
    <w:rsid w:val="0036567B"/>
    <w:rsid w:val="003877EA"/>
    <w:rsid w:val="003A024F"/>
    <w:rsid w:val="003A49DD"/>
    <w:rsid w:val="003B6415"/>
    <w:rsid w:val="003D7F0C"/>
    <w:rsid w:val="00434CDD"/>
    <w:rsid w:val="0044050E"/>
    <w:rsid w:val="004A4DF4"/>
    <w:rsid w:val="004A6A01"/>
    <w:rsid w:val="00533C41"/>
    <w:rsid w:val="005707E4"/>
    <w:rsid w:val="00575FAF"/>
    <w:rsid w:val="0058400A"/>
    <w:rsid w:val="00615B5E"/>
    <w:rsid w:val="00640FD8"/>
    <w:rsid w:val="00654D01"/>
    <w:rsid w:val="006A673E"/>
    <w:rsid w:val="00700CD5"/>
    <w:rsid w:val="007050A7"/>
    <w:rsid w:val="00716872"/>
    <w:rsid w:val="007338B9"/>
    <w:rsid w:val="007D4750"/>
    <w:rsid w:val="007D5870"/>
    <w:rsid w:val="007E3B15"/>
    <w:rsid w:val="00807680"/>
    <w:rsid w:val="00827D3B"/>
    <w:rsid w:val="0083608F"/>
    <w:rsid w:val="00847145"/>
    <w:rsid w:val="0086588A"/>
    <w:rsid w:val="00872B9A"/>
    <w:rsid w:val="008B703C"/>
    <w:rsid w:val="008E6784"/>
    <w:rsid w:val="009026FF"/>
    <w:rsid w:val="009308D4"/>
    <w:rsid w:val="00984C8D"/>
    <w:rsid w:val="009E1E7A"/>
    <w:rsid w:val="009F04D7"/>
    <w:rsid w:val="009F5FF1"/>
    <w:rsid w:val="00A27E8E"/>
    <w:rsid w:val="00A35A93"/>
    <w:rsid w:val="00A8544F"/>
    <w:rsid w:val="00AE6009"/>
    <w:rsid w:val="00BB468A"/>
    <w:rsid w:val="00BC2AFB"/>
    <w:rsid w:val="00BC387B"/>
    <w:rsid w:val="00BC6C1D"/>
    <w:rsid w:val="00C11FD2"/>
    <w:rsid w:val="00C17FA6"/>
    <w:rsid w:val="00C226BA"/>
    <w:rsid w:val="00C406F2"/>
    <w:rsid w:val="00C8457A"/>
    <w:rsid w:val="00D21282"/>
    <w:rsid w:val="00D32FBE"/>
    <w:rsid w:val="00D6587B"/>
    <w:rsid w:val="00DA40B5"/>
    <w:rsid w:val="00DB3679"/>
    <w:rsid w:val="00DC1387"/>
    <w:rsid w:val="00DE2A4C"/>
    <w:rsid w:val="00E11E07"/>
    <w:rsid w:val="00E16CE8"/>
    <w:rsid w:val="00E1778B"/>
    <w:rsid w:val="00E26253"/>
    <w:rsid w:val="00ED705F"/>
    <w:rsid w:val="00F4095F"/>
    <w:rsid w:val="00F641D6"/>
    <w:rsid w:val="00FC0F2F"/>
    <w:rsid w:val="00FC6523"/>
    <w:rsid w:val="00FE12AC"/>
    <w:rsid w:val="00FE2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4750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7D4750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7D4750"/>
  </w:style>
  <w:style w:type="character" w:styleId="Numerstrony">
    <w:name w:val="page number"/>
    <w:semiHidden/>
    <w:rsid w:val="007D4750"/>
    <w:rPr>
      <w:sz w:val="14"/>
      <w:szCs w:val="14"/>
    </w:rPr>
  </w:style>
  <w:style w:type="paragraph" w:styleId="Tekstpodstawowy">
    <w:name w:val="Body Text"/>
    <w:basedOn w:val="Normalny"/>
    <w:semiHidden/>
    <w:rsid w:val="007D4750"/>
    <w:pPr>
      <w:spacing w:after="120"/>
    </w:pPr>
  </w:style>
  <w:style w:type="paragraph" w:customStyle="1" w:styleId="Podpis1">
    <w:name w:val="Podpis1"/>
    <w:basedOn w:val="Normalny"/>
    <w:rsid w:val="007D4750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rsid w:val="007D4750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  <w:rsid w:val="007D4750"/>
  </w:style>
  <w:style w:type="paragraph" w:styleId="Stopka">
    <w:name w:val="footer"/>
    <w:basedOn w:val="Normalny"/>
    <w:semiHidden/>
    <w:rsid w:val="007D4750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7D4750"/>
    <w:pPr>
      <w:suppressLineNumbers/>
    </w:pPr>
  </w:style>
  <w:style w:type="paragraph" w:customStyle="1" w:styleId="Nagwektabeli">
    <w:name w:val="Nagłówek tabeli"/>
    <w:basedOn w:val="Zawartotabeli"/>
    <w:rsid w:val="007D4750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7D4750"/>
  </w:style>
  <w:style w:type="paragraph" w:customStyle="1" w:styleId="Indeks">
    <w:name w:val="Indeks"/>
    <w:basedOn w:val="Normalny"/>
    <w:rsid w:val="007D4750"/>
    <w:pPr>
      <w:suppressLineNumbers/>
    </w:pPr>
  </w:style>
  <w:style w:type="character" w:styleId="Odwoaniedokomentarza">
    <w:name w:val="annotation reference"/>
    <w:semiHidden/>
    <w:rsid w:val="007D475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D4750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7D4750"/>
    <w:rPr>
      <w:b/>
      <w:bCs/>
    </w:rPr>
  </w:style>
  <w:style w:type="paragraph" w:customStyle="1" w:styleId="Tekstdymka1">
    <w:name w:val="Tekst dymka1"/>
    <w:basedOn w:val="Normalny"/>
    <w:rsid w:val="007D475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7D4750"/>
    <w:rPr>
      <w:sz w:val="20"/>
      <w:szCs w:val="20"/>
    </w:rPr>
  </w:style>
  <w:style w:type="character" w:styleId="Odwoanieprzypisudolnego">
    <w:name w:val="footnote reference"/>
    <w:semiHidden/>
    <w:rsid w:val="007D4750"/>
    <w:rPr>
      <w:vertAlign w:val="superscript"/>
    </w:rPr>
  </w:style>
  <w:style w:type="character" w:customStyle="1" w:styleId="StopkaZnak">
    <w:name w:val="Stopka Znak"/>
    <w:rsid w:val="007D4750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  <w:style w:type="character" w:customStyle="1" w:styleId="WW8Num5z2">
    <w:name w:val="WW8Num5z2"/>
    <w:rsid w:val="008E6784"/>
    <w:rPr>
      <w:rFonts w:ascii="Wingdings" w:hAnsi="Wingdings" w:cs="Wingdings"/>
    </w:rPr>
  </w:style>
  <w:style w:type="paragraph" w:styleId="Akapitzlist">
    <w:name w:val="List Paragraph"/>
    <w:basedOn w:val="Normalny"/>
    <w:uiPriority w:val="34"/>
    <w:qFormat/>
    <w:rsid w:val="008658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  <w:style w:type="character" w:customStyle="1" w:styleId="WW8Num5z2">
    <w:name w:val="WW8Num5z2"/>
    <w:rsid w:val="008E6784"/>
    <w:rPr>
      <w:rFonts w:ascii="Wingdings" w:hAnsi="Wingdings" w:cs="Wingdings"/>
    </w:rPr>
  </w:style>
  <w:style w:type="paragraph" w:styleId="Akapitzlist">
    <w:name w:val="List Paragraph"/>
    <w:basedOn w:val="Normalny"/>
    <w:uiPriority w:val="34"/>
    <w:qFormat/>
    <w:rsid w:val="008658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1461</Words>
  <Characters>8769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10210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9</cp:revision>
  <cp:lastPrinted>2012-01-27T07:28:00Z</cp:lastPrinted>
  <dcterms:created xsi:type="dcterms:W3CDTF">2024-01-05T15:48:00Z</dcterms:created>
  <dcterms:modified xsi:type="dcterms:W3CDTF">2025-10-25T10:14:00Z</dcterms:modified>
</cp:coreProperties>
</file>