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17295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  <w:gridCol w:w="7655"/>
      </w:tblGrid>
      <w:tr w:rsidR="00FE5D3C" w:rsidTr="000D3C1A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FE5D3C" w:rsidRDefault="00FE5D3C" w:rsidP="00FE5D3C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FE5D3C" w:rsidRDefault="00FE5D3C" w:rsidP="00FE5D3C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Verdana"/>
                <w:color w:val="333366"/>
                <w:sz w:val="20"/>
                <w:szCs w:val="20"/>
              </w:rPr>
              <w:t>Socjologia płci i seksualności</w:t>
            </w:r>
          </w:p>
        </w:tc>
        <w:tc>
          <w:tcPr>
            <w:tcW w:w="7655" w:type="dxa"/>
            <w:vAlign w:val="center"/>
          </w:tcPr>
          <w:p w:rsidR="00FE5D3C" w:rsidRDefault="00FE5D3C" w:rsidP="00FE5D3C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D3C" w:rsidRPr="00EA6623" w:rsidTr="000D3C1A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FE5D3C" w:rsidRDefault="00FE5D3C" w:rsidP="00FE5D3C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FE5D3C" w:rsidRPr="00FE5D3C" w:rsidRDefault="00FE5D3C" w:rsidP="00FE5D3C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i/>
                <w:color w:val="003366"/>
                <w:sz w:val="16"/>
                <w:szCs w:val="16"/>
                <w:lang w:val="en-US"/>
              </w:rPr>
              <w:t>Sociology of Gender and Sexuality</w:t>
            </w:r>
          </w:p>
        </w:tc>
        <w:tc>
          <w:tcPr>
            <w:tcW w:w="7655" w:type="dxa"/>
            <w:vAlign w:val="center"/>
          </w:tcPr>
          <w:p w:rsidR="00FE5D3C" w:rsidRPr="00FE5D3C" w:rsidRDefault="00FE5D3C" w:rsidP="00FE5D3C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303F50" w:rsidRPr="00FE5D3C" w:rsidRDefault="00303F50">
      <w:pPr>
        <w:jc w:val="center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FE5D3C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Grzegorz Kubiński 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827D3B" w:rsidRDefault="00FE5D3C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Grzegorz Kubiński </w:t>
            </w: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9A1327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303F50" w:rsidRDefault="00FE5D3C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sz w:val="16"/>
              </w:rPr>
              <w:t>Celem kursu jest zapoznanie studentów z koncepcjami i teoriami z zakresu socjologii płci i seksualności. Przedstawione koncepcje mają być punktem wyjścia dla bardziej szczegółowych analiz dotyczących kilku wybranych obszarów ludzkiej seksualności.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17339" w:type="dxa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  <w:gridCol w:w="7699"/>
      </w:tblGrid>
      <w:tr w:rsidR="00FE5D3C" w:rsidTr="00A2591F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FE5D3C" w:rsidRDefault="00FE5D3C" w:rsidP="00FE5D3C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FE5D3C" w:rsidRDefault="00FE5D3C" w:rsidP="00FE5D3C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Wymagana jest wiedza z dziedziny antropologii, socjologii oraz podstaw psychologii dotycząca podstawowych mechanizmów funkcjonowania społeczeństwa.</w:t>
            </w:r>
          </w:p>
          <w:p w:rsidR="00FE5D3C" w:rsidRDefault="00FE5D3C" w:rsidP="00FE5D3C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FE5D3C" w:rsidRDefault="00FE5D3C" w:rsidP="00FE5D3C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699" w:type="dxa"/>
            <w:vAlign w:val="center"/>
          </w:tcPr>
          <w:p w:rsidR="00FE5D3C" w:rsidRDefault="00FE5D3C" w:rsidP="00FE5D3C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FE5D3C" w:rsidRDefault="00FE5D3C" w:rsidP="00FE5D3C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FE5D3C" w:rsidRDefault="00FE5D3C" w:rsidP="00FE5D3C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FE5D3C" w:rsidTr="00A2591F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FE5D3C" w:rsidRDefault="00FE5D3C" w:rsidP="00FE5D3C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FE5D3C" w:rsidRDefault="00FE5D3C" w:rsidP="00FE5D3C">
            <w:pPr>
              <w:autoSpaceDE/>
              <w:snapToGrid w:val="0"/>
              <w:rPr>
                <w:rFonts w:ascii="Arial" w:hAnsi="Arial" w:cs="Arial"/>
                <w:sz w:val="22"/>
                <w:szCs w:val="16"/>
              </w:rPr>
            </w:pPr>
          </w:p>
          <w:p w:rsidR="00FE5D3C" w:rsidRDefault="00FE5D3C" w:rsidP="00FE5D3C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Student </w:t>
            </w:r>
            <w:r w:rsidR="000A05F6">
              <w:rPr>
                <w:rFonts w:ascii="Verdana" w:hAnsi="Verdana" w:cs="Arial"/>
                <w:sz w:val="16"/>
                <w:szCs w:val="16"/>
              </w:rPr>
              <w:t>powiewnien</w:t>
            </w:r>
            <w:r>
              <w:rPr>
                <w:rFonts w:ascii="Verdana" w:hAnsi="Verdana" w:cs="Arial"/>
                <w:sz w:val="16"/>
                <w:szCs w:val="16"/>
              </w:rPr>
              <w:t xml:space="preserve"> posiadać umiejętność lektury oraz samodzielnej interpretacji lektur z zakresu humanistyki oraz tworzenia samodzielnych tekstów.</w:t>
            </w:r>
          </w:p>
        </w:tc>
        <w:tc>
          <w:tcPr>
            <w:tcW w:w="7699" w:type="dxa"/>
            <w:vAlign w:val="center"/>
          </w:tcPr>
          <w:p w:rsidR="00FE5D3C" w:rsidRDefault="00FE5D3C" w:rsidP="00FE5D3C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FE5D3C" w:rsidRDefault="00FE5D3C" w:rsidP="00FE5D3C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FE5D3C" w:rsidTr="00A2591F">
        <w:tc>
          <w:tcPr>
            <w:tcW w:w="1941" w:type="dxa"/>
            <w:shd w:val="clear" w:color="auto" w:fill="DBE5F1"/>
            <w:vAlign w:val="center"/>
          </w:tcPr>
          <w:p w:rsidR="00FE5D3C" w:rsidRDefault="00FE5D3C" w:rsidP="00FE5D3C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FE5D3C" w:rsidRDefault="00FE5D3C" w:rsidP="00FE5D3C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Podstawowe kursy z socjologii oraz podstaw psychologii.</w:t>
            </w:r>
          </w:p>
          <w:p w:rsidR="00FE5D3C" w:rsidRDefault="00FE5D3C" w:rsidP="00FE5D3C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699" w:type="dxa"/>
            <w:vAlign w:val="center"/>
          </w:tcPr>
          <w:p w:rsidR="00FE5D3C" w:rsidRDefault="00FE5D3C" w:rsidP="00FE5D3C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FE5D3C" w:rsidRDefault="00FE5D3C" w:rsidP="00FE5D3C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E94871" w:rsidRPr="00A6402D" w:rsidRDefault="00E94871" w:rsidP="00E94871">
            <w:pPr>
              <w:rPr>
                <w:sz w:val="16"/>
                <w:szCs w:val="16"/>
              </w:rPr>
            </w:pPr>
            <w:r>
              <w:rPr>
                <w:rFonts w:eastAsia="Calibri"/>
                <w:sz w:val="22"/>
              </w:rPr>
              <w:t xml:space="preserve">W01 </w:t>
            </w:r>
            <w:r w:rsidRPr="00A6402D">
              <w:rPr>
                <w:rFonts w:eastAsia="Calibri"/>
                <w:sz w:val="22"/>
              </w:rPr>
              <w:t>Ma ogólną wiedzę o umiejscowieniu i znaczeniu socjologii w systemie nauk społecznych, jej relacje wobec innych nauk i obszarów nauk, specyfikę metodologiczną oraz podstawową terminologię badawczą</w:t>
            </w:r>
          </w:p>
          <w:p w:rsidR="00E94871" w:rsidRPr="00A6402D" w:rsidRDefault="00E94871" w:rsidP="00E94871">
            <w:pPr>
              <w:rPr>
                <w:sz w:val="16"/>
                <w:szCs w:val="16"/>
              </w:rPr>
            </w:pPr>
          </w:p>
          <w:p w:rsidR="00E94871" w:rsidRPr="00A6402D" w:rsidRDefault="00E94871" w:rsidP="00E94871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W02 </w:t>
            </w:r>
            <w:r w:rsidRPr="00A6402D">
              <w:rPr>
                <w:rFonts w:eastAsia="Calibri"/>
                <w:sz w:val="22"/>
              </w:rPr>
              <w:t>Ma wiedzę o seksualno</w:t>
            </w:r>
            <w:r>
              <w:rPr>
                <w:rFonts w:eastAsia="Calibri"/>
                <w:sz w:val="22"/>
              </w:rPr>
              <w:t>śc</w:t>
            </w:r>
            <w:r w:rsidRPr="00A6402D">
              <w:rPr>
                <w:rFonts w:eastAsia="Calibri"/>
                <w:sz w:val="22"/>
              </w:rPr>
              <w:t>i jako podmiocie konstytuującym struktury społeczne i działającym wewnątrz tych struktur; rozumie zależności między tworzonymi przez człowieka ideami (społecznymi, politycznymi, filozoficznymi) a zmianami w kulturze i społeczeństwie</w:t>
            </w:r>
          </w:p>
          <w:p w:rsidR="00E94871" w:rsidRPr="00A6402D" w:rsidRDefault="00E94871" w:rsidP="00E94871">
            <w:pPr>
              <w:rPr>
                <w:sz w:val="16"/>
                <w:szCs w:val="16"/>
              </w:rPr>
            </w:pPr>
          </w:p>
          <w:p w:rsidR="00303F50" w:rsidRDefault="00E94871" w:rsidP="00E9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/>
                <w:sz w:val="22"/>
              </w:rPr>
              <w:t xml:space="preserve">W03 </w:t>
            </w:r>
            <w:r w:rsidRPr="00A6402D">
              <w:rPr>
                <w:rFonts w:eastAsia="Calibri"/>
                <w:sz w:val="22"/>
              </w:rPr>
              <w:t>Zna i rozumie główne problemy społeczne współczesnego społeczeństwa  polskiego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03F50" w:rsidRDefault="00303F50" w:rsidP="00FE5D3C">
            <w:pPr>
              <w:rPr>
                <w:rFonts w:ascii="Arial" w:hAnsi="Arial" w:cs="Arial"/>
                <w:sz w:val="20"/>
                <w:szCs w:val="20"/>
              </w:rPr>
            </w:pP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K_W01</w:t>
            </w: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K_W03</w:t>
            </w: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K_W06</w:t>
            </w:r>
          </w:p>
          <w:p w:rsidR="00E94871" w:rsidRDefault="00E94871" w:rsidP="00FE5D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E94871" w:rsidRPr="00A6402D" w:rsidRDefault="00E94871" w:rsidP="00E94871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U01 </w:t>
            </w:r>
            <w:r w:rsidRPr="00A6402D">
              <w:rPr>
                <w:rFonts w:eastAsia="Calibri"/>
                <w:sz w:val="22"/>
              </w:rPr>
              <w:t xml:space="preserve">Potrafi właściwie analizować przyczyny i przebieg złożonych procesów i zjawisk społecznych, wykorzystując właściwe, wyselekcjonowane przez siebie źródła informacji oraz posługując się zdobytą wiedzą teoretyczną  </w:t>
            </w:r>
          </w:p>
          <w:p w:rsidR="00E94871" w:rsidRPr="00A6402D" w:rsidRDefault="00E94871" w:rsidP="00E94871">
            <w:pPr>
              <w:rPr>
                <w:sz w:val="16"/>
                <w:szCs w:val="16"/>
              </w:rPr>
            </w:pPr>
          </w:p>
          <w:p w:rsidR="00303F50" w:rsidRDefault="00E94871" w:rsidP="00E9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/>
                <w:sz w:val="22"/>
              </w:rPr>
              <w:t xml:space="preserve">U02 </w:t>
            </w:r>
            <w:r w:rsidRPr="00A6402D">
              <w:rPr>
                <w:rFonts w:eastAsia="Calibri"/>
                <w:sz w:val="22"/>
              </w:rPr>
              <w:t>Posiada umiejętność artykułowania i uzasadniania własnych poglądów przy użyciu specjalistycznej terminologii z zakresu socjologii seksualności</w:t>
            </w:r>
          </w:p>
        </w:tc>
        <w:tc>
          <w:tcPr>
            <w:tcW w:w="2410" w:type="dxa"/>
          </w:tcPr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K_U01</w:t>
            </w: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K_U04</w:t>
            </w: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E94871" w:rsidTr="00E94871">
        <w:trPr>
          <w:cantSplit/>
          <w:trHeight w:val="2118"/>
        </w:trPr>
        <w:tc>
          <w:tcPr>
            <w:tcW w:w="1985" w:type="dxa"/>
            <w:vMerge/>
          </w:tcPr>
          <w:p w:rsidR="00E94871" w:rsidRDefault="00E94871" w:rsidP="00E948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E94871" w:rsidRPr="00A6402D" w:rsidRDefault="00E94871" w:rsidP="00E94871">
            <w:pPr>
              <w:suppressAutoHyphens w:val="0"/>
              <w:spacing w:line="100" w:lineRule="atLeast"/>
              <w:rPr>
                <w:sz w:val="22"/>
              </w:rPr>
            </w:pPr>
            <w:r>
              <w:rPr>
                <w:rFonts w:eastAsia="Calibri"/>
                <w:sz w:val="22"/>
              </w:rPr>
              <w:t xml:space="preserve">K01 </w:t>
            </w:r>
            <w:r w:rsidRPr="00A6402D">
              <w:rPr>
                <w:rFonts w:eastAsia="Calibri"/>
                <w:sz w:val="22"/>
              </w:rPr>
              <w:t xml:space="preserve">Rozumie znaczenie dyskusji jako podstawowego narzędzia poszukiwań intelektualnych; jest człowiekiem doceniającym znaczenie niezależności myślenia oraz krytycznego dystansu wobec opinii własnych i cudzych </w:t>
            </w:r>
          </w:p>
          <w:p w:rsidR="00E94871" w:rsidRPr="00A6402D" w:rsidRDefault="00E94871" w:rsidP="00E94871">
            <w:pPr>
              <w:rPr>
                <w:sz w:val="16"/>
                <w:szCs w:val="16"/>
              </w:rPr>
            </w:pPr>
          </w:p>
          <w:p w:rsidR="00E94871" w:rsidRPr="00A6402D" w:rsidRDefault="00E94871" w:rsidP="00E94871">
            <w:pPr>
              <w:suppressAutoHyphens w:val="0"/>
              <w:spacing w:line="100" w:lineRule="atLeast"/>
              <w:rPr>
                <w:sz w:val="22"/>
              </w:rPr>
            </w:pPr>
            <w:r>
              <w:rPr>
                <w:rFonts w:eastAsia="Calibri"/>
                <w:sz w:val="22"/>
              </w:rPr>
              <w:t xml:space="preserve">K02 </w:t>
            </w:r>
            <w:r w:rsidRPr="00A6402D">
              <w:rPr>
                <w:rFonts w:eastAsia="Calibri"/>
                <w:sz w:val="22"/>
              </w:rPr>
              <w:t xml:space="preserve">Prawidłowo identyfikuje i rozstrzyga dylematy związane z wykonywaniem zawodu socjologa/badacza społecznego  </w:t>
            </w: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94871" w:rsidRDefault="00E94871" w:rsidP="00E948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K_K01</w:t>
            </w: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94871" w:rsidRDefault="00E94871" w:rsidP="00E9487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94871" w:rsidRDefault="00E94871" w:rsidP="00E94871">
            <w:r>
              <w:rPr>
                <w:rFonts w:ascii="Verdana" w:hAnsi="Verdana" w:cs="Verdana"/>
                <w:sz w:val="16"/>
                <w:szCs w:val="16"/>
              </w:rPr>
              <w:t>K_K04</w:t>
            </w:r>
          </w:p>
          <w:p w:rsidR="00E94871" w:rsidRDefault="00E94871" w:rsidP="00E948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E94871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9A1327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E9487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9A1327" w:rsidRDefault="009A1327" w:rsidP="009A1327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9A1327" w:rsidTr="00B1142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9A1327" w:rsidTr="00B1142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9A1327" w:rsidTr="00B1142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1327" w:rsidTr="00B11421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1327" w:rsidTr="00B11421">
        <w:trPr>
          <w:trHeight w:val="462"/>
        </w:trPr>
        <w:tc>
          <w:tcPr>
            <w:tcW w:w="1611" w:type="dxa"/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A1327" w:rsidRDefault="009A132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A1327" w:rsidRDefault="009A1327" w:rsidP="009A1327">
      <w:pPr>
        <w:pStyle w:val="Zawartotabeli"/>
        <w:rPr>
          <w:rFonts w:ascii="Arial" w:hAnsi="Arial" w:cs="Arial"/>
          <w:sz w:val="22"/>
          <w:szCs w:val="16"/>
        </w:rPr>
      </w:pPr>
    </w:p>
    <w:p w:rsidR="009A1327" w:rsidRDefault="009A1327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Tr="00E94871">
        <w:trPr>
          <w:trHeight w:val="912"/>
        </w:trPr>
        <w:tc>
          <w:tcPr>
            <w:tcW w:w="9622" w:type="dxa"/>
          </w:tcPr>
          <w:p w:rsidR="00303F50" w:rsidRDefault="00E94871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Wykład: metoda podawcza wzbogacona o elementy aktywizacji studentów za pomocą dyskusji nad wybranymi przez wykładowcę oraz zaproponowanymi przez studentów tematami. Analiza przykładów z literatury przedmiotu, wyników badań oraz materiałów medialnych. W ramach zajęć studenci będą proszeni o przygotowanie referatów na wybrane tematy oraz przedstawienie zaliczeniowego projektu indywidualnego.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1"/>
      </w:tblGrid>
      <w:tr w:rsidR="00303F50" w:rsidTr="00FA4409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71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FA4409" w:rsidTr="00FA4409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FA4409" w:rsidRDefault="00FA4409" w:rsidP="00FA4409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71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</w:tr>
      <w:tr w:rsidR="00FA4409" w:rsidTr="00FA4409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FA4409" w:rsidRDefault="00FA4409" w:rsidP="00FA4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71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</w:tr>
      <w:tr w:rsidR="00FA4409" w:rsidTr="00FA4409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FA4409" w:rsidRDefault="00FA4409" w:rsidP="00FA4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71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</w:tr>
      <w:tr w:rsidR="00FA4409" w:rsidTr="00FA4409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FA4409" w:rsidRDefault="00FA4409" w:rsidP="00FA4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71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</w:tr>
      <w:tr w:rsidR="00FA4409" w:rsidTr="00FA4409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FA4409" w:rsidRDefault="00FA4409" w:rsidP="00FA4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71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</w:tr>
      <w:tr w:rsidR="00FA4409" w:rsidTr="00FA4409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FA4409" w:rsidRDefault="00FA4409" w:rsidP="00FA4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71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</w:tr>
      <w:tr w:rsidR="00FA4409" w:rsidTr="00FA4409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FA4409" w:rsidRDefault="00FA4409" w:rsidP="00FA4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71" w:type="dxa"/>
            <w:shd w:val="clear" w:color="auto" w:fill="FFFFFF"/>
          </w:tcPr>
          <w:p w:rsidR="00FA4409" w:rsidRDefault="00FA4409" w:rsidP="00FA4409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 w:rsidTr="00FA4409">
        <w:trPr>
          <w:trHeight w:val="10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Kryteria oceny</w:t>
            </w:r>
          </w:p>
        </w:tc>
        <w:tc>
          <w:tcPr>
            <w:tcW w:w="7699" w:type="dxa"/>
          </w:tcPr>
          <w:p w:rsidR="00EA6623" w:rsidRDefault="00EA6623" w:rsidP="00FA4409">
            <w:pPr>
              <w:pStyle w:val="Zawartotabeli"/>
              <w:spacing w:before="57" w:after="57"/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ZALICZENIE NA OCENĘ</w:t>
            </w:r>
          </w:p>
          <w:p w:rsidR="00FA4409" w:rsidRDefault="00FA4409" w:rsidP="00FA4409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Zaliczenie na podstawie zadanych projektów indywidualnych obejmujących pogłębioną analizę wybranego i zatwierdzonego przez wykładowcę tematu</w:t>
            </w:r>
            <w:r w:rsidR="00EA6623"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 –praca pisemna, prezentacja.</w:t>
            </w: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FA4409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FA4409" w:rsidRDefault="00FA4409" w:rsidP="00FA4409">
            <w:pPr>
              <w:widowControl/>
              <w:suppressAutoHyphens w:val="0"/>
              <w:autoSpaceDE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1. Antropologia seksualności – seksualność pierwszych hominidów, kształtowanie się ról męskich i żeńskich w okresie paleoitu i neolitu, socjalizacja do płci w społecznościach tradycyjnych, zmiana roli kobiety po rewolucji neolitycznej, przedstawienie seksualnosći w sztuce społeczństw tradycyjnych. </w:t>
            </w:r>
          </w:p>
          <w:p w:rsidR="00FA4409" w:rsidRDefault="00FA4409" w:rsidP="00FA4409">
            <w:pPr>
              <w:widowControl/>
              <w:suppressAutoHyphens w:val="0"/>
              <w:autoSpaceDE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2. Koncepcje seksualności w wybranych kulturach – omówienie wybranych tracycji i religii (starożytność, hinduizm, islam, judaizm, chrześcijaństwo).</w:t>
            </w:r>
          </w:p>
          <w:p w:rsidR="00FA4409" w:rsidRDefault="00FA4409" w:rsidP="00FA4409">
            <w:pPr>
              <w:widowControl/>
              <w:suppressAutoHyphens w:val="0"/>
              <w:autoSpaceDE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3.Wybrane koncepcje dotyczące seksualności – behawioryzm, psychoanaliza, teoria społecznego uczenia, teoria wymiany, teorie feministyczne. </w:t>
            </w:r>
          </w:p>
          <w:p w:rsidR="00FA4409" w:rsidRDefault="00FA4409" w:rsidP="00FA4409">
            <w:pPr>
              <w:widowControl/>
              <w:suppressAutoHyphens w:val="0"/>
              <w:autoSpaceDE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4.Męskość i kobiecość – zmiany zachowań seksualnych i funkcji rodziny, zmiany ról płciowych, ruch LGBT i aseksualność. </w:t>
            </w:r>
          </w:p>
          <w:p w:rsidR="00FA4409" w:rsidRDefault="00FA4409" w:rsidP="00FA4409">
            <w:pPr>
              <w:widowControl/>
              <w:suppressAutoHyphens w:val="0"/>
              <w:autoSpaceDE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5.Seksualność i zachowania dewiacyjne – normy społeczne i zachowania anormatywne, klasyfikacja i omówienie parafilii.</w:t>
            </w:r>
          </w:p>
          <w:p w:rsidR="00FA4409" w:rsidRDefault="00FA4409" w:rsidP="00FA4409">
            <w:pPr>
              <w:widowControl/>
              <w:suppressAutoHyphens w:val="0"/>
              <w:autoSpaceDE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6.Seksualność młodzieży, osób starszych i osób niepełnosprawnych. </w:t>
            </w:r>
          </w:p>
          <w:p w:rsidR="00FA4409" w:rsidRDefault="00FA4409" w:rsidP="00FA4409">
            <w:pPr>
              <w:widowControl/>
              <w:suppressAutoHyphens w:val="0"/>
              <w:autoSpaceDE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7.Fetyszyzacja życia seksualnego – seksualność jako dominanta kultury współczesnej, hiperseksualizacja zachowań społecznych, rola klasycznych mediów oraz internetu.</w:t>
            </w:r>
          </w:p>
          <w:p w:rsidR="00FA4409" w:rsidRDefault="00FA4409" w:rsidP="00FA4409">
            <w:pPr>
              <w:widowControl/>
              <w:suppressAutoHyphens w:val="0"/>
              <w:autoSpaceDE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8.Rola pornografi w kulturze – omówienie roli pornografii w kulturze, pornografia w internecie, nowa „pornografia dla kobiet”.</w:t>
            </w:r>
          </w:p>
          <w:p w:rsidR="00FA4409" w:rsidRDefault="00FA4409" w:rsidP="00FA4409">
            <w:pPr>
              <w:widowControl/>
              <w:suppressAutoHyphens w:val="0"/>
              <w:autoSpaceDE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9.Seksualność zapośredniczona – seks przez internet, seks i nowe technologie, cyberseks.</w:t>
            </w:r>
          </w:p>
          <w:p w:rsidR="00FA4409" w:rsidRDefault="00FA4409" w:rsidP="00FA4409">
            <w:pPr>
              <w:widowControl/>
              <w:suppressAutoHyphens w:val="0"/>
              <w:autoSpaceDE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10.Wybrane patologie społeczne – prostytucja, przemoc wobec kobiet.</w:t>
            </w:r>
          </w:p>
          <w:p w:rsidR="00303F50" w:rsidRDefault="00303F50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FA4409" w:rsidRDefault="00FA4409" w:rsidP="00FA4409">
            <w:pPr>
              <w:numPr>
                <w:ilvl w:val="0"/>
                <w:numId w:val="2"/>
              </w:numPr>
              <w:ind w:left="720" w:hanging="36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1. Baker R., Seks w przyszłości, Rebis, Poznań 2002 </w:t>
            </w:r>
          </w:p>
          <w:p w:rsidR="00FA4409" w:rsidRDefault="00FA4409" w:rsidP="00FA4409">
            <w:pPr>
              <w:numPr>
                <w:ilvl w:val="0"/>
                <w:numId w:val="2"/>
              </w:numPr>
              <w:ind w:left="720" w:hanging="36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Bancroft J., Seksualność człowieka, Urban i Partner, Wrocław 2010</w:t>
            </w:r>
          </w:p>
          <w:p w:rsidR="00FA4409" w:rsidRDefault="00FA4409" w:rsidP="00FA4409">
            <w:pPr>
              <w:numPr>
                <w:ilvl w:val="0"/>
                <w:numId w:val="2"/>
              </w:numPr>
              <w:ind w:left="720" w:hanging="36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 Izdebski Z., Seksualność Polaków na początku XXI wieku, Wydawnictwo UJ, Kraków 2012</w:t>
            </w:r>
          </w:p>
          <w:p w:rsidR="00FA4409" w:rsidRDefault="00FA4409" w:rsidP="00FA4409">
            <w:pPr>
              <w:numPr>
                <w:ilvl w:val="0"/>
                <w:numId w:val="2"/>
              </w:numPr>
              <w:ind w:left="720" w:hanging="36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Jędrzejewski P.,Szlęzak K.,Szustera G.,(red.) Ciało, seksualność, pornografia w perspektywie historycznej, Kasper, Kraków 2015</w:t>
            </w:r>
          </w:p>
          <w:p w:rsidR="00FA4409" w:rsidRDefault="00FA4409" w:rsidP="00FA4409">
            <w:pPr>
              <w:numPr>
                <w:ilvl w:val="0"/>
                <w:numId w:val="2"/>
              </w:numPr>
              <w:ind w:left="720" w:hanging="36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Jones E.M., Libido dominandi: seks jako narzędzie kontroli społecznej, Wektory, Wrocław 2013</w:t>
            </w:r>
          </w:p>
          <w:p w:rsidR="00FA4409" w:rsidRDefault="00FA4409" w:rsidP="00FA4409">
            <w:pPr>
              <w:numPr>
                <w:ilvl w:val="0"/>
                <w:numId w:val="2"/>
              </w:numPr>
              <w:ind w:left="720" w:hanging="36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Komorowska-Pudło M., Seksualność młodzieży przełomu XX i XXI wieku, WAM, Kraków 2013</w:t>
            </w:r>
          </w:p>
          <w:p w:rsidR="00FA4409" w:rsidRDefault="00FA4409" w:rsidP="00FA4409">
            <w:pPr>
              <w:numPr>
                <w:ilvl w:val="0"/>
                <w:numId w:val="2"/>
              </w:numPr>
              <w:ind w:left="720" w:hanging="36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Kościańska A., Hryciuk R., Gender. Perspektywa antropologiczna, t.1-2, WUW, Warszawa 2007</w:t>
            </w:r>
          </w:p>
          <w:p w:rsidR="00FA4409" w:rsidRDefault="00FA4409" w:rsidP="00FA4409">
            <w:pPr>
              <w:numPr>
                <w:ilvl w:val="0"/>
                <w:numId w:val="2"/>
              </w:numPr>
              <w:ind w:left="720" w:hanging="36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 Kościańska A., (red.) Antropologia seksualności, Wydawnictwo Uniwersytyteu Warszawskiego, Warszawa 2012</w:t>
            </w:r>
          </w:p>
          <w:p w:rsidR="00FA4409" w:rsidRDefault="00FA4409" w:rsidP="00FA4409">
            <w:pPr>
              <w:numPr>
                <w:ilvl w:val="0"/>
                <w:numId w:val="2"/>
              </w:numPr>
              <w:ind w:left="720" w:hanging="36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Lew-Starowicz Z., Waszyńska K.,(red.) Przemiany seksualności w społeczeństwie współczesnym, UAM, Poznań 2012</w:t>
            </w:r>
          </w:p>
          <w:p w:rsidR="00FA4409" w:rsidRDefault="00FA4409" w:rsidP="00FA4409">
            <w:pPr>
              <w:numPr>
                <w:ilvl w:val="0"/>
                <w:numId w:val="2"/>
              </w:numPr>
              <w:ind w:left="720" w:hanging="36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Zwoliński A., Seksualność w relacjach społecznych, WAM, Kraków 2006</w:t>
            </w:r>
          </w:p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FA4409" w:rsidRDefault="00FA4409" w:rsidP="00FA4409">
            <w:pPr>
              <w:numPr>
                <w:ilvl w:val="0"/>
                <w:numId w:val="5"/>
              </w:num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Endsjo D.O., Seks a religia: od balu dziewic po święty seks homoseksualny, Czarna Owca, Warszawa 2011</w:t>
            </w:r>
          </w:p>
          <w:p w:rsidR="00FA4409" w:rsidRDefault="00FA4409" w:rsidP="00FA4409">
            <w:pPr>
              <w:numPr>
                <w:ilvl w:val="0"/>
                <w:numId w:val="5"/>
              </w:num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Jetha C., Ryan Ch., Na początku był seks: prehistoryczne źródła nowoczesnej seksualności, Czarna Owca, Warszawa 2013</w:t>
            </w:r>
          </w:p>
          <w:p w:rsidR="00FA4409" w:rsidRDefault="00FA4409" w:rsidP="00FA4409">
            <w:pPr>
              <w:numPr>
                <w:ilvl w:val="0"/>
                <w:numId w:val="5"/>
              </w:num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Karwatowska M., Litwiński R., Siwiec A., (red.) O płci, ciele i seksualności w kulturze i historii, UMCS, Lublin 2014</w:t>
            </w:r>
          </w:p>
          <w:p w:rsidR="00FA4409" w:rsidRDefault="00FA4409" w:rsidP="00FA4409">
            <w:pPr>
              <w:numPr>
                <w:ilvl w:val="0"/>
                <w:numId w:val="5"/>
              </w:num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Kościańska A., Płeć, przyjemnośc i przemoc, WUW, Warszawa 2014 </w:t>
            </w:r>
          </w:p>
          <w:p w:rsidR="00FA4409" w:rsidRDefault="00FA4409" w:rsidP="00FA4409">
            <w:pPr>
              <w:numPr>
                <w:ilvl w:val="0"/>
                <w:numId w:val="5"/>
              </w:num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Lew-Starowicz Z., Seks w kulturach świata, Ossolineum, Warszawa 1987</w:t>
            </w:r>
          </w:p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FA44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FA4409" w:rsidTr="002B3906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FA4409" w:rsidRDefault="00FA4409" w:rsidP="00FA44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FA4409" w:rsidRDefault="00FA4409" w:rsidP="00FA44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A4409" w:rsidRDefault="00F7584C" w:rsidP="00FA44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FA4409" w:rsidTr="002B3906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FA4409" w:rsidRDefault="00FA4409" w:rsidP="00FA44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FA4409" w:rsidRDefault="00FA4409" w:rsidP="00FA4409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A4409" w:rsidRDefault="00F7584C" w:rsidP="00FA44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FA4409" w:rsidTr="002B3906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FA4409" w:rsidRDefault="00FA4409" w:rsidP="00FA4409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FA4409" w:rsidRDefault="00FA4409" w:rsidP="00FA44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A4409" w:rsidRDefault="00FA4409" w:rsidP="00FA44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FA4409" w:rsidTr="002B3906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FA4409" w:rsidRDefault="00FA4409" w:rsidP="00FA44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FA4409" w:rsidRDefault="00FA4409" w:rsidP="00FA44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A4409" w:rsidRDefault="00F7584C" w:rsidP="00FA44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FA4409" w:rsidTr="002B3906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FA4409" w:rsidRDefault="00FA4409" w:rsidP="00FA44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FA4409" w:rsidRDefault="00FA4409" w:rsidP="00FA44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A4409" w:rsidRDefault="00733041" w:rsidP="00FA44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FA4409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FA4409" w:rsidRDefault="00FA4409" w:rsidP="00FA44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FA4409" w:rsidRDefault="00FA4409" w:rsidP="00FA44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FA4409" w:rsidRDefault="00F7584C" w:rsidP="00FA44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FA4409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FA4409" w:rsidRDefault="00FA4409" w:rsidP="00FA44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FA4409" w:rsidRDefault="00F7584C" w:rsidP="00FA44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70</w:t>
            </w:r>
          </w:p>
        </w:tc>
      </w:tr>
      <w:tr w:rsidR="00FA4409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FA4409" w:rsidRDefault="00FA4409" w:rsidP="00FA44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FA4409" w:rsidRDefault="00137BC7" w:rsidP="00FA44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9A1327" w:rsidRDefault="009A1327" w:rsidP="009A1327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</w:t>
      </w:r>
    </w:p>
    <w:p w:rsidR="009A1327" w:rsidRDefault="009A1327" w:rsidP="009A1327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9A1327" w:rsidTr="00B1142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9A1327" w:rsidRDefault="009A1327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9A1327" w:rsidRDefault="009A1327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9A1327" w:rsidRDefault="009A1327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9A1327" w:rsidTr="00B1142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9A1327" w:rsidRDefault="009A1327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9A1327" w:rsidRDefault="009A1327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9A1327" w:rsidRDefault="00644BD8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9A1327" w:rsidTr="00B1142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9A1327" w:rsidRDefault="009A1327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9A1327" w:rsidRDefault="009A1327" w:rsidP="00B1142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9A1327" w:rsidRDefault="00644BD8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9A1327" w:rsidTr="00B1142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9A1327" w:rsidRDefault="009A1327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9A1327" w:rsidRDefault="009A1327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9A1327" w:rsidRDefault="009A1327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A1327" w:rsidTr="00B1142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9A1327" w:rsidRDefault="009A1327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9A1327" w:rsidRDefault="009A1327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9A1327" w:rsidRDefault="009A1327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9A1327" w:rsidTr="00B1142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9A1327" w:rsidRDefault="009A1327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9A1327" w:rsidRDefault="009A1327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9A1327" w:rsidRDefault="00733041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9A1327" w:rsidTr="00B1142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9A1327" w:rsidRDefault="009A1327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9A1327" w:rsidRDefault="009A1327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9A1327" w:rsidRDefault="00733041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644B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9A1327" w:rsidTr="00B1142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9A1327" w:rsidRDefault="009A1327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9A1327" w:rsidRDefault="00733041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50</w:t>
            </w:r>
          </w:p>
        </w:tc>
      </w:tr>
      <w:tr w:rsidR="009A1327" w:rsidTr="00B1142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9A1327" w:rsidRDefault="009A1327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9A1327" w:rsidRDefault="00137BC7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</w:tbl>
    <w:p w:rsidR="009A1327" w:rsidRDefault="009A1327" w:rsidP="009A1327">
      <w:pPr>
        <w:pStyle w:val="Tekstdymka1"/>
        <w:rPr>
          <w:rFonts w:ascii="Arial" w:hAnsi="Arial" w:cs="Arial"/>
          <w:sz w:val="22"/>
        </w:rPr>
      </w:pPr>
    </w:p>
    <w:p w:rsidR="009A1327" w:rsidRDefault="009A1327">
      <w:pPr>
        <w:pStyle w:val="Tekstdymka1"/>
        <w:rPr>
          <w:rFonts w:ascii="Arial" w:hAnsi="Arial" w:cs="Arial"/>
          <w:sz w:val="22"/>
        </w:rPr>
      </w:pPr>
    </w:p>
    <w:sectPr w:rsidR="009A1327" w:rsidSect="00E26253">
      <w:footerReference w:type="default" r:id="rId7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214" w:rsidRDefault="00242214">
      <w:r>
        <w:separator/>
      </w:r>
    </w:p>
  </w:endnote>
  <w:endnote w:type="continuationSeparator" w:id="1">
    <w:p w:rsidR="00242214" w:rsidRDefault="002422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F054CC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733041">
      <w:rPr>
        <w:noProof/>
      </w:rPr>
      <w:t>5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214" w:rsidRDefault="00242214">
      <w:r>
        <w:separator/>
      </w:r>
    </w:p>
  </w:footnote>
  <w:footnote w:type="continuationSeparator" w:id="1">
    <w:p w:rsidR="00242214" w:rsidRDefault="002422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53F06"/>
    <w:rsid w:val="000A05F6"/>
    <w:rsid w:val="000E16AB"/>
    <w:rsid w:val="00100620"/>
    <w:rsid w:val="00116004"/>
    <w:rsid w:val="00137BC7"/>
    <w:rsid w:val="00242214"/>
    <w:rsid w:val="00257A2E"/>
    <w:rsid w:val="00293D67"/>
    <w:rsid w:val="002C7F36"/>
    <w:rsid w:val="00303F50"/>
    <w:rsid w:val="00334F8F"/>
    <w:rsid w:val="003A49DD"/>
    <w:rsid w:val="00434CDD"/>
    <w:rsid w:val="0044050E"/>
    <w:rsid w:val="004F5B15"/>
    <w:rsid w:val="00533C41"/>
    <w:rsid w:val="0058400A"/>
    <w:rsid w:val="00644BD8"/>
    <w:rsid w:val="006F5019"/>
    <w:rsid w:val="00700CD5"/>
    <w:rsid w:val="00716872"/>
    <w:rsid w:val="00733041"/>
    <w:rsid w:val="00827D3B"/>
    <w:rsid w:val="00847145"/>
    <w:rsid w:val="008A70A5"/>
    <w:rsid w:val="008B703C"/>
    <w:rsid w:val="009026FF"/>
    <w:rsid w:val="00984C8D"/>
    <w:rsid w:val="009A1327"/>
    <w:rsid w:val="009F04D7"/>
    <w:rsid w:val="00A35A93"/>
    <w:rsid w:val="00A8544F"/>
    <w:rsid w:val="00C226BA"/>
    <w:rsid w:val="00C406F2"/>
    <w:rsid w:val="00D32FBE"/>
    <w:rsid w:val="00DB3679"/>
    <w:rsid w:val="00DE2A4C"/>
    <w:rsid w:val="00E1778B"/>
    <w:rsid w:val="00E26253"/>
    <w:rsid w:val="00E94871"/>
    <w:rsid w:val="00EA6623"/>
    <w:rsid w:val="00F054CC"/>
    <w:rsid w:val="00F4095F"/>
    <w:rsid w:val="00F7584C"/>
    <w:rsid w:val="00FA4409"/>
    <w:rsid w:val="00FE5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6004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116004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116004"/>
  </w:style>
  <w:style w:type="character" w:styleId="Numerstrony">
    <w:name w:val="page number"/>
    <w:semiHidden/>
    <w:rsid w:val="00116004"/>
    <w:rPr>
      <w:sz w:val="14"/>
      <w:szCs w:val="14"/>
    </w:rPr>
  </w:style>
  <w:style w:type="paragraph" w:styleId="Tekstpodstawowy">
    <w:name w:val="Body Text"/>
    <w:basedOn w:val="Normalny"/>
    <w:semiHidden/>
    <w:rsid w:val="00116004"/>
    <w:pPr>
      <w:spacing w:after="120"/>
    </w:pPr>
  </w:style>
  <w:style w:type="paragraph" w:customStyle="1" w:styleId="Podpis1">
    <w:name w:val="Podpis1"/>
    <w:basedOn w:val="Normalny"/>
    <w:rsid w:val="00116004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116004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116004"/>
  </w:style>
  <w:style w:type="paragraph" w:styleId="Stopka">
    <w:name w:val="footer"/>
    <w:basedOn w:val="Normalny"/>
    <w:semiHidden/>
    <w:rsid w:val="00116004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116004"/>
    <w:pPr>
      <w:suppressLineNumbers/>
    </w:pPr>
  </w:style>
  <w:style w:type="paragraph" w:customStyle="1" w:styleId="Nagwektabeli">
    <w:name w:val="Nagłówek tabeli"/>
    <w:basedOn w:val="Zawartotabeli"/>
    <w:rsid w:val="00116004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116004"/>
  </w:style>
  <w:style w:type="paragraph" w:customStyle="1" w:styleId="Indeks">
    <w:name w:val="Indeks"/>
    <w:basedOn w:val="Normalny"/>
    <w:rsid w:val="00116004"/>
    <w:pPr>
      <w:suppressLineNumbers/>
    </w:pPr>
  </w:style>
  <w:style w:type="character" w:styleId="Odwoaniedokomentarza">
    <w:name w:val="annotation reference"/>
    <w:semiHidden/>
    <w:rsid w:val="0011600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116004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116004"/>
    <w:rPr>
      <w:b/>
      <w:bCs/>
    </w:rPr>
  </w:style>
  <w:style w:type="paragraph" w:customStyle="1" w:styleId="Tekstdymka1">
    <w:name w:val="Tekst dymka1"/>
    <w:basedOn w:val="Normalny"/>
    <w:rsid w:val="0011600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116004"/>
    <w:rPr>
      <w:sz w:val="20"/>
      <w:szCs w:val="20"/>
    </w:rPr>
  </w:style>
  <w:style w:type="character" w:styleId="Odwoanieprzypisudolnego">
    <w:name w:val="footnote reference"/>
    <w:semiHidden/>
    <w:rsid w:val="00116004"/>
    <w:rPr>
      <w:vertAlign w:val="superscript"/>
    </w:rPr>
  </w:style>
  <w:style w:type="character" w:customStyle="1" w:styleId="StopkaZnak">
    <w:name w:val="Stopka Znak"/>
    <w:rsid w:val="00116004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1133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7920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6</cp:revision>
  <cp:lastPrinted>2012-01-27T07:28:00Z</cp:lastPrinted>
  <dcterms:created xsi:type="dcterms:W3CDTF">2024-11-02T14:46:00Z</dcterms:created>
  <dcterms:modified xsi:type="dcterms:W3CDTF">2025-10-25T10:45:00Z</dcterms:modified>
</cp:coreProperties>
</file>