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C3E7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70B4F21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37E79981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4AF8AEA6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4150E66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57A3DDED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4485A523" w14:textId="77777777" w:rsidR="00714DCE" w:rsidRDefault="00612EC9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Kryminologia i dezorganizacja społeczna</w:t>
      </w:r>
    </w:p>
    <w:p w14:paraId="561D19F6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3579E1F0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1FDD796C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0E87F7C8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11397B71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1BADB637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654151F9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15F2B8F1" w14:textId="77777777" w:rsidR="00E05287" w:rsidRPr="00E05287" w:rsidRDefault="0061791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Statystyki kryminalne</w:t>
            </w:r>
          </w:p>
        </w:tc>
      </w:tr>
      <w:tr w:rsidR="00E05287" w:rsidRPr="00E05287" w14:paraId="75DB247F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72342C73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569A3B20" w14:textId="77777777" w:rsidR="00E05287" w:rsidRPr="0061791C" w:rsidRDefault="0061791C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Crime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>statistics</w:t>
            </w:r>
            <w:proofErr w:type="spellEnd"/>
          </w:p>
        </w:tc>
      </w:tr>
    </w:tbl>
    <w:p w14:paraId="73140F39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6FD9A330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6398FDE8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F51A563" w14:textId="77777777" w:rsidR="00E05287" w:rsidRPr="00E05287" w:rsidRDefault="0061791C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Małgorzata Krywult-Albańska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7A42CDAF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7B411180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0B5668F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0D04ACD0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07665114" w14:textId="77777777" w:rsidR="00E05287" w:rsidRPr="00E05287" w:rsidRDefault="0061791C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Małgorzata Krywult-Albańska</w:t>
            </w:r>
          </w:p>
        </w:tc>
      </w:tr>
      <w:tr w:rsidR="00E05287" w:rsidRPr="00E05287" w14:paraId="2FA4D2B5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A496645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3CE527D4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3E35C3C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5AE37D54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613437A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B48E474" w14:textId="031103E2" w:rsidR="00E05287" w:rsidRPr="00E05287" w:rsidRDefault="00FA65D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671129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44BE21F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4E2E9A99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6CEDC98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9593A1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6F16CD3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36E14E0A" w14:textId="77777777">
        <w:trPr>
          <w:trHeight w:val="1365"/>
        </w:trPr>
        <w:tc>
          <w:tcPr>
            <w:tcW w:w="9640" w:type="dxa"/>
          </w:tcPr>
          <w:p w14:paraId="58CC7640" w14:textId="77777777" w:rsidR="00714DCE" w:rsidRDefault="003D1D1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 xml:space="preserve">Kurs ukazuje zastosowanie statystyki na gruncie badań kryminologicznych. W trakcie zajęć analizowane są przykłady prowadzenia badań ilościowych oraz interpretacji danych dotyczących przestępczości, wyroków sądowych, działalności policji oraz wymiaru sprawiedliwości. Nacisk położony został na praktyczne zastosowanie wiedzy z zakresu analizy danych statystycznych w rozwiązywaniu problemów, z jakimi może zetknąć się </w:t>
            </w:r>
            <w:proofErr w:type="spellStart"/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badacz_ka</w:t>
            </w:r>
            <w:proofErr w:type="spellEnd"/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proofErr w:type="spellStart"/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prowadzący_a</w:t>
            </w:r>
            <w:proofErr w:type="spellEnd"/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 xml:space="preserve"> badania kryminologiczne. Studenci i studentki nie tylko dowiadują się, w jaki sposób prowadzić analizy statystyczne, ale mają także możliwość zrozumienia znaczenia tych analiz dla systemu wymiaru sprawiedliwości.</w:t>
            </w:r>
          </w:p>
        </w:tc>
      </w:tr>
    </w:tbl>
    <w:p w14:paraId="7C7BB8D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16ED67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4265C4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4EAF3A2E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1C642C68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3357D28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4B333F88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081925BE" w14:textId="77777777" w:rsidR="00C76DE0" w:rsidRPr="00C76DE0" w:rsidRDefault="003D1D19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Podstawowa znajomość metodologii badań społecznych i statystyki</w:t>
            </w:r>
          </w:p>
          <w:p w14:paraId="47C99BA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24975BFA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4A085F1B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3E357A08" w14:textId="77777777" w:rsidR="00C76DE0" w:rsidRPr="00C76DE0" w:rsidRDefault="003D1D19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Mile widziana znajomość programu PS IMAGO PRO (SPSS) lub innego programu do analizy danych ilościowych</w:t>
            </w:r>
          </w:p>
        </w:tc>
      </w:tr>
      <w:tr w:rsidR="00C76DE0" w:rsidRPr="00C76DE0" w14:paraId="112860FB" w14:textId="77777777" w:rsidTr="00B34138">
        <w:tc>
          <w:tcPr>
            <w:tcW w:w="1941" w:type="dxa"/>
            <w:shd w:val="clear" w:color="auto" w:fill="DBE5F1"/>
            <w:vAlign w:val="center"/>
          </w:tcPr>
          <w:p w14:paraId="5DB03BD8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4CF4A5E2" w14:textId="77777777" w:rsidR="00C76DE0" w:rsidRPr="003D1D19" w:rsidRDefault="003D1D19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>Metody badań społecznych, Statystyka 1 i 2</w:t>
            </w:r>
          </w:p>
          <w:p w14:paraId="608CB5D4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551D444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5ED1B32E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2DD3E5EC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35284C07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5F97258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DA496F3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E3FC13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0EE44C20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674925B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489CAAAE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7C39B3C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CB1C2C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5A898FF9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6A653B31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2F929696" w14:textId="77777777">
        <w:trPr>
          <w:cantSplit/>
          <w:trHeight w:val="1838"/>
        </w:trPr>
        <w:tc>
          <w:tcPr>
            <w:tcW w:w="1979" w:type="dxa"/>
            <w:vMerge/>
          </w:tcPr>
          <w:p w14:paraId="3D4CB3E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429F2EFD" w14:textId="77777777" w:rsidR="00612EC9" w:rsidRPr="00612EC9" w:rsidRDefault="00714DCE" w:rsidP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W01,</w:t>
            </w:r>
            <w:r w:rsidR="00612EC9">
              <w:t xml:space="preserve"> </w:t>
            </w:r>
            <w:r w:rsidR="00612EC9" w:rsidRPr="00612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posiada pogłębioną wiedzę na temat metod i technik właściwych dla kryminologii i</w:t>
            </w:r>
          </w:p>
          <w:p w14:paraId="6FDA79F9" w14:textId="77777777" w:rsidR="00612EC9" w:rsidRPr="00612EC9" w:rsidRDefault="00612EC9" w:rsidP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2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kryminalistyki i potrafi je zastosować w procesie weryfikacji hipotez badawczych dotyczących</w:t>
            </w:r>
          </w:p>
          <w:p w14:paraId="2B862C09" w14:textId="77777777" w:rsidR="00714DCE" w:rsidRDefault="00612EC9" w:rsidP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2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m.in. uwarunkowań przestępczości</w:t>
            </w:r>
          </w:p>
          <w:p w14:paraId="5554225F" w14:textId="77777777" w:rsidR="00612EC9" w:rsidRDefault="00612EC9" w:rsidP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7B76CD5" w14:textId="77777777" w:rsidR="00612EC9" w:rsidRPr="00612EC9" w:rsidRDefault="00612EC9" w:rsidP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W02, </w:t>
            </w:r>
            <w:r w:rsidRPr="00612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 zjawiska patologii społecznych, potrafi trafnie rozpoznawać ich przyczyny i skutki,</w:t>
            </w:r>
          </w:p>
          <w:p w14:paraId="72D6E471" w14:textId="77777777" w:rsidR="00714DCE" w:rsidRDefault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2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zna także metody zapobiegania im na różnych poziomach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365" w:type="dxa"/>
          </w:tcPr>
          <w:p w14:paraId="3906C4AD" w14:textId="77777777" w:rsidR="00714DCE" w:rsidRDefault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W03</w:t>
            </w:r>
          </w:p>
          <w:p w14:paraId="53B403FA" w14:textId="77777777" w:rsidR="00612EC9" w:rsidRDefault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097393" w14:textId="77777777" w:rsidR="00612EC9" w:rsidRDefault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1A39B81" w14:textId="77777777" w:rsidR="00612EC9" w:rsidRDefault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917A2F" w14:textId="77777777" w:rsidR="00612EC9" w:rsidRDefault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091A24" w14:textId="77777777" w:rsidR="00612EC9" w:rsidRDefault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C3CB258" w14:textId="77777777" w:rsidR="00612EC9" w:rsidRDefault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W04</w:t>
            </w:r>
          </w:p>
        </w:tc>
      </w:tr>
    </w:tbl>
    <w:p w14:paraId="25A7D04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1EF3C0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3B145E60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1DF479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DC949C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E208222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602D0B38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39EEE512" w14:textId="77777777">
        <w:trPr>
          <w:cantSplit/>
          <w:trHeight w:val="2116"/>
        </w:trPr>
        <w:tc>
          <w:tcPr>
            <w:tcW w:w="1985" w:type="dxa"/>
            <w:vMerge/>
          </w:tcPr>
          <w:p w14:paraId="17756C7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0ECE8758" w14:textId="77777777" w:rsidR="00612EC9" w:rsidRPr="00612EC9" w:rsidRDefault="00714DCE" w:rsidP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U01,</w:t>
            </w:r>
            <w:r w:rsidR="00612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612EC9" w:rsidRPr="00612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potrafi analizować statystyki przestępczości i przestępstw poszczególnych rodzajów dla</w:t>
            </w:r>
          </w:p>
          <w:p w14:paraId="242AEF58" w14:textId="77777777" w:rsidR="00612EC9" w:rsidRDefault="00612EC9" w:rsidP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2EC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podejmowania przedsięwzięć dotyczących zapobiegania przestępczości</w:t>
            </w:r>
          </w:p>
        </w:tc>
        <w:tc>
          <w:tcPr>
            <w:tcW w:w="2410" w:type="dxa"/>
          </w:tcPr>
          <w:p w14:paraId="1E2CDB89" w14:textId="77777777" w:rsidR="00714DCE" w:rsidRDefault="00612EC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U06</w:t>
            </w:r>
          </w:p>
        </w:tc>
      </w:tr>
    </w:tbl>
    <w:p w14:paraId="1CD6B64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41AF03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7FF4A872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87D8F6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13F3F36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0CCC594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1AC4837A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3FFB8407" w14:textId="77777777">
        <w:trPr>
          <w:cantSplit/>
          <w:trHeight w:val="1984"/>
        </w:trPr>
        <w:tc>
          <w:tcPr>
            <w:tcW w:w="1985" w:type="dxa"/>
            <w:vMerge/>
          </w:tcPr>
          <w:p w14:paraId="67EF286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5CEDF585" w14:textId="77777777" w:rsidR="007E406F" w:rsidRPr="007E406F" w:rsidRDefault="00714DCE" w:rsidP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K01,</w:t>
            </w:r>
            <w:r w:rsidR="007E40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7E406F" w:rsidRPr="007E40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 dynamikę przeobrażeń problemów społecznych, jest otwarty na dalszy rozwój</w:t>
            </w:r>
          </w:p>
          <w:p w14:paraId="2FF0E40E" w14:textId="77777777" w:rsidR="00714DCE" w:rsidRDefault="007E406F" w:rsidP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E406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zawodowy, kształcenie i poszukiwanie teoretycznych wyjaśnień zjawisk go otaczających</w:t>
            </w:r>
          </w:p>
        </w:tc>
        <w:tc>
          <w:tcPr>
            <w:tcW w:w="2410" w:type="dxa"/>
          </w:tcPr>
          <w:p w14:paraId="4769C6C6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K06</w:t>
            </w:r>
          </w:p>
        </w:tc>
      </w:tr>
    </w:tbl>
    <w:p w14:paraId="2F04E22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965A5D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79A8A499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7627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</w:p>
        </w:tc>
      </w:tr>
      <w:tr w:rsidR="00714DCE" w14:paraId="4B76773C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5BF851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F61481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4216EBC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EFF5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66E27E7F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1AC90F57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2E5E4E9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F952A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61E527D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2F37168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6F686A0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13B8435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1EFD493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5EF65B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7C1D7B3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120DACB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31A72B4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5339A2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57AEC5A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1609239F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1A1BC99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3712996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94BB1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D97E86" w14:textId="77777777" w:rsidR="00714DCE" w:rsidRDefault="003D1D1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1DD7C47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99687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48950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489658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2A750981" w14:textId="77777777">
        <w:trPr>
          <w:trHeight w:val="462"/>
        </w:trPr>
        <w:tc>
          <w:tcPr>
            <w:tcW w:w="1611" w:type="dxa"/>
            <w:vAlign w:val="center"/>
          </w:tcPr>
          <w:p w14:paraId="77A83EF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0C853A8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396A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83CD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222135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4CBC4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E00188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A77D0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FA731A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11E9319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7CFDFA1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35572B65" w14:textId="77777777">
        <w:trPr>
          <w:trHeight w:val="1920"/>
        </w:trPr>
        <w:tc>
          <w:tcPr>
            <w:tcW w:w="9622" w:type="dxa"/>
          </w:tcPr>
          <w:p w14:paraId="366F9C7F" w14:textId="77777777" w:rsidR="003D1D19" w:rsidRPr="003D1D19" w:rsidRDefault="003D1D19" w:rsidP="003D1D1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 xml:space="preserve">Udział w kursie zakłada podstawową znajomość metodologii badań społecznych i statystyki. W ramach przygotowania do zajęć uczestnicy i uczestniczki kursu czytają zadaną literaturę oraz wykonują zadania, które omawiane są na początku każdego spotkania. W trakcie kursu przewidziane są także kolokwia sprawdzające znajomość literatury (na początku zajęć). </w:t>
            </w:r>
          </w:p>
          <w:p w14:paraId="72D375B2" w14:textId="77777777" w:rsidR="00714DCE" w:rsidRDefault="003D1D19" w:rsidP="003D1D1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Zasadnicza część zajęć ma formę warsztatową i polega na ćwiczeniu umiejętności analizy danych statystycznych. Studenci rozwiązują w grupach problemy związane z prowadzeniem badań ilościowych na gruncie kryminologii oraz analizują dane w ramach pracy indywidualnej. W trakcie analiz wykorzystywany jest program PS IMAGO PRO (do pobrania z linku udostępnianego przez prowadzącą).</w:t>
            </w:r>
          </w:p>
        </w:tc>
      </w:tr>
    </w:tbl>
    <w:p w14:paraId="6C2893BC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BB88F87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22670E2E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1BB069BC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6697AFF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447360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AEFADF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7F0A76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65304B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E9BD4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70EEE8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2E0E76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919ABF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08E6E4E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1CE7E79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7ABF01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6A253A6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13D674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35C8A406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9D521B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607A7FA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681242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53F1B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6D9A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5D7AA33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DA91B3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B8567F7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7F252EA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766388D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386666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13F28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64B44B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096D727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714DCE" w14:paraId="0CAD81FE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D493E2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DE1C6B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9913A0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36B75A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C8C9AF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921209D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6ECF3A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4D79CE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646D024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5ABDC1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6D27C84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A3B4F2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05801F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4FBA5F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714DCE" w14:paraId="2D884607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760989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4FCA658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2A56D9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F6B191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AAF821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A1F9A29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7969C187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X </w:t>
            </w:r>
          </w:p>
        </w:tc>
        <w:tc>
          <w:tcPr>
            <w:tcW w:w="666" w:type="dxa"/>
            <w:shd w:val="clear" w:color="auto" w:fill="FFFFFF"/>
          </w:tcPr>
          <w:p w14:paraId="69323F71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7B8C55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16786F8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55B79B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593BF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5F694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2576346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  <w:tr w:rsidR="00714DCE" w14:paraId="6BC42579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FF34CF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13DC721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1134A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E1D6D7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FC572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0A92BFF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 xml:space="preserve">X </w:t>
            </w:r>
          </w:p>
        </w:tc>
        <w:tc>
          <w:tcPr>
            <w:tcW w:w="666" w:type="dxa"/>
            <w:shd w:val="clear" w:color="auto" w:fill="FFFFFF"/>
          </w:tcPr>
          <w:p w14:paraId="1509968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BE0780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6AA81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5FBEA57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2FDE816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617F91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BC57B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47E4905" w14:textId="77777777" w:rsidR="00714DCE" w:rsidRDefault="007E406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</w:tr>
    </w:tbl>
    <w:p w14:paraId="5EDE78EF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7D24AE8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54F12201" w14:textId="77777777">
        <w:tc>
          <w:tcPr>
            <w:tcW w:w="1941" w:type="dxa"/>
            <w:shd w:val="clear" w:color="auto" w:fill="DBE5F1"/>
            <w:vAlign w:val="center"/>
          </w:tcPr>
          <w:p w14:paraId="7990773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3639E653" w14:textId="77777777" w:rsidR="003D1D19" w:rsidRPr="003D1D19" w:rsidRDefault="00714DCE" w:rsidP="003D1D1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r w:rsidR="003D1D19" w:rsidRPr="003D1D19">
              <w:rPr>
                <w:rFonts w:ascii="Arial" w:eastAsia="Times New Roman" w:hAnsi="Arial" w:cs="Arial"/>
                <w:szCs w:val="16"/>
                <w:lang w:eastAsia="pl-PL"/>
              </w:rPr>
              <w:t>Każdy uczestnik/uczestniczka zajęć ma prawo do dwóch nieobecności oraz jednego dłuższego spóźnienia lub wcześniejszego wyjścia (maksymalnie 30 minut). Każda dodatkowa nieobecność oraz spóźnienie/wcześniejsze wyjście powoduje obniżenie oceny końcowej. Brak przygotowania do zajęć jest równoznaczny z nieobecnością.</w:t>
            </w:r>
          </w:p>
          <w:p w14:paraId="6645CF4C" w14:textId="77777777" w:rsidR="003D1D19" w:rsidRPr="003D1D19" w:rsidRDefault="003D1D19" w:rsidP="003D1D19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Na końcową ocenę składają się:</w:t>
            </w:r>
          </w:p>
          <w:p w14:paraId="1F2E8BF3" w14:textId="77777777" w:rsidR="003D1D19" w:rsidRPr="003D1D19" w:rsidRDefault="003D1D19" w:rsidP="003D1D19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 xml:space="preserve">przygotowanie do zajęć (sprawdzane w trakcie kolokwiów lub/i „odpytywania” – 20% </w:t>
            </w:r>
          </w:p>
          <w:p w14:paraId="57BBADFC" w14:textId="77777777" w:rsidR="003D1D19" w:rsidRPr="003D1D19" w:rsidRDefault="003D1D19" w:rsidP="003D1D19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wykonanie projektów grupowych i indywidualnych – 30%</w:t>
            </w:r>
          </w:p>
          <w:p w14:paraId="560E8C0A" w14:textId="77777777" w:rsidR="00714DCE" w:rsidRPr="003D1D19" w:rsidRDefault="003D1D19" w:rsidP="003D1D19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końcowe kolokwium zaliczeniowe – 50% oceny końcowej</w:t>
            </w:r>
          </w:p>
          <w:p w14:paraId="071F4044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1B26E2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537EC29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559A7605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7D6BCA9D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2B48F4A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8DD874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21AE7A8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D9E74CA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2F33FA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48DCB99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520B53E5" w14:textId="77777777">
        <w:trPr>
          <w:trHeight w:val="1136"/>
        </w:trPr>
        <w:tc>
          <w:tcPr>
            <w:tcW w:w="9622" w:type="dxa"/>
          </w:tcPr>
          <w:p w14:paraId="56C88EE1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Wprowadzenie. Znaczenie badań i statystyki dla kryminologii i wymiaru sprawiedliwości.</w:t>
            </w:r>
          </w:p>
          <w:p w14:paraId="671E20FB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Rozkład danych w tabelach częstości i na wykresach.</w:t>
            </w:r>
          </w:p>
          <w:p w14:paraId="09E435D2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Miary tendencji centralnej.</w:t>
            </w:r>
          </w:p>
          <w:p w14:paraId="12F17DB4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Miary rozproszenia.</w:t>
            </w:r>
          </w:p>
          <w:p w14:paraId="55700FA5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Miary asymetrii i obserwacji odstających.</w:t>
            </w:r>
          </w:p>
          <w:p w14:paraId="4715220E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Wychodząc poza opis: wnioskowanie statystyczne; rozkład prawdopodobieństwa; testowanie hipotez.</w:t>
            </w:r>
          </w:p>
          <w:p w14:paraId="10C84942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Estymacja punktowa i przedziały ufności.</w:t>
            </w:r>
          </w:p>
          <w:p w14:paraId="6EAF181B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Testowanie hipotez.</w:t>
            </w:r>
          </w:p>
          <w:p w14:paraId="4E3CA750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 xml:space="preserve">Testy Chi-kwadrat i test </w:t>
            </w:r>
            <w:r w:rsidRPr="003D1D19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 xml:space="preserve">t </w:t>
            </w: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Studenta.</w:t>
            </w:r>
          </w:p>
          <w:p w14:paraId="07EB8A4C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 xml:space="preserve">Test </w:t>
            </w:r>
            <w:r w:rsidRPr="003D1D19">
              <w:rPr>
                <w:rFonts w:ascii="Arial" w:eastAsia="Times New Roman" w:hAnsi="Arial" w:cs="Arial"/>
                <w:i/>
                <w:iCs/>
                <w:szCs w:val="16"/>
                <w:lang w:eastAsia="pl-PL"/>
              </w:rPr>
              <w:t xml:space="preserve">t </w:t>
            </w: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Studenta.</w:t>
            </w:r>
          </w:p>
          <w:p w14:paraId="72253E1A" w14:textId="77777777" w:rsidR="003D1D19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Analiza wariancji.</w:t>
            </w:r>
          </w:p>
          <w:p w14:paraId="19CC6A00" w14:textId="77777777" w:rsidR="00714DCE" w:rsidRPr="003D1D19" w:rsidRDefault="003D1D19" w:rsidP="003D1D19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3D1D19">
              <w:rPr>
                <w:rFonts w:ascii="Arial" w:eastAsia="Times New Roman" w:hAnsi="Arial" w:cs="Arial"/>
                <w:szCs w:val="16"/>
                <w:lang w:eastAsia="pl-PL"/>
              </w:rPr>
              <w:t>Korelacja dwóch zmiennych i analiza regresji.</w:t>
            </w:r>
          </w:p>
        </w:tc>
      </w:tr>
    </w:tbl>
    <w:p w14:paraId="179E667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2CE8B46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8C1C94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7D549D1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7CF4C837" w14:textId="77777777">
        <w:trPr>
          <w:trHeight w:val="1098"/>
        </w:trPr>
        <w:tc>
          <w:tcPr>
            <w:tcW w:w="9622" w:type="dxa"/>
          </w:tcPr>
          <w:p w14:paraId="321C2AF7" w14:textId="77777777" w:rsidR="0061791C" w:rsidRDefault="0061791C" w:rsidP="0061791C">
            <w:pPr>
              <w:numPr>
                <w:ilvl w:val="0"/>
                <w:numId w:val="1"/>
              </w:numPr>
              <w:spacing w:after="0" w:line="240" w:lineRule="auto"/>
              <w:ind w:left="351" w:hanging="357"/>
              <w:rPr>
                <w:rFonts w:ascii="Verdana" w:hAnsi="Verdana"/>
                <w:sz w:val="18"/>
              </w:rPr>
            </w:pPr>
            <w:r w:rsidRPr="00DF4799">
              <w:rPr>
                <w:rFonts w:ascii="Verdana" w:hAnsi="Verdana"/>
                <w:sz w:val="18"/>
              </w:rPr>
              <w:t xml:space="preserve">Górniak, Jarosław. </w:t>
            </w:r>
            <w:proofErr w:type="spellStart"/>
            <w:r w:rsidRPr="00DF4799">
              <w:rPr>
                <w:rFonts w:ascii="Verdana" w:hAnsi="Verdana"/>
                <w:sz w:val="18"/>
              </w:rPr>
              <w:t>Wachnicki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Janusz.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Pierwsze kroki w analizie danych. </w:t>
            </w:r>
            <w:r w:rsidRPr="00DF4799">
              <w:rPr>
                <w:rFonts w:ascii="Verdana" w:hAnsi="Verdana"/>
                <w:sz w:val="18"/>
              </w:rPr>
              <w:t>Kraków: SPSS Polska.</w:t>
            </w:r>
          </w:p>
          <w:p w14:paraId="7DA91FDE" w14:textId="77777777" w:rsidR="0061791C" w:rsidRPr="0061791C" w:rsidRDefault="0061791C" w:rsidP="0061791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1" w:hanging="357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Józefacka, Natalia M.; Kołek, Mateusz F; Arciszewska-Leszczuk Aleksandra. 2023. </w:t>
            </w:r>
            <w:r>
              <w:rPr>
                <w:rFonts w:ascii="Verdana" w:hAnsi="Verdana"/>
                <w:i/>
                <w:iCs/>
                <w:sz w:val="18"/>
              </w:rPr>
              <w:t xml:space="preserve">Metodologia i statystyka. Przewodnik naukowego turysty. </w:t>
            </w:r>
            <w:r>
              <w:rPr>
                <w:rFonts w:ascii="Verdana" w:hAnsi="Verdana"/>
                <w:sz w:val="18"/>
              </w:rPr>
              <w:t>Warszawa: Wydawnictwo Naukowe PWN. [część 1 i 2]</w:t>
            </w:r>
          </w:p>
          <w:p w14:paraId="5C387531" w14:textId="77777777" w:rsidR="00714DCE" w:rsidRPr="0061791C" w:rsidRDefault="0061791C" w:rsidP="0061791C">
            <w:pPr>
              <w:numPr>
                <w:ilvl w:val="0"/>
                <w:numId w:val="1"/>
              </w:numPr>
              <w:spacing w:after="0" w:line="240" w:lineRule="auto"/>
              <w:ind w:left="351" w:hanging="357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Nawojczyk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Maria. 2010. </w:t>
            </w:r>
            <w:r w:rsidRPr="00DF4799">
              <w:rPr>
                <w:rFonts w:ascii="Verdana" w:hAnsi="Verdana"/>
                <w:i/>
                <w:sz w:val="18"/>
              </w:rPr>
              <w:t xml:space="preserve">Przewodnik po statystyce dla socjologów. </w:t>
            </w:r>
            <w:r w:rsidRPr="00DF4799">
              <w:rPr>
                <w:rFonts w:ascii="Verdana" w:hAnsi="Verdana"/>
                <w:sz w:val="18"/>
              </w:rPr>
              <w:t xml:space="preserve">Kraków: </w:t>
            </w:r>
            <w:proofErr w:type="spellStart"/>
            <w:r w:rsidRPr="00DF4799">
              <w:rPr>
                <w:rFonts w:ascii="Verdana" w:hAnsi="Verdana"/>
                <w:sz w:val="18"/>
              </w:rPr>
              <w:t>Predictive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Solutions.</w:t>
            </w:r>
          </w:p>
        </w:tc>
      </w:tr>
    </w:tbl>
    <w:p w14:paraId="55B1EA0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256B044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151C5185" w14:textId="77777777">
        <w:trPr>
          <w:trHeight w:val="1112"/>
        </w:trPr>
        <w:tc>
          <w:tcPr>
            <w:tcW w:w="9622" w:type="dxa"/>
          </w:tcPr>
          <w:p w14:paraId="1590D2F2" w14:textId="77777777" w:rsidR="0061791C" w:rsidRDefault="0061791C" w:rsidP="0061791C">
            <w:pPr>
              <w:numPr>
                <w:ilvl w:val="0"/>
                <w:numId w:val="1"/>
              </w:numPr>
              <w:spacing w:after="0" w:line="240" w:lineRule="auto"/>
              <w:ind w:left="356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Babbie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Earl. 2009.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Podstawy badań społecznych. </w:t>
            </w:r>
            <w:r>
              <w:rPr>
                <w:rFonts w:ascii="Verdana" w:hAnsi="Verdana"/>
                <w:sz w:val="18"/>
                <w:szCs w:val="18"/>
              </w:rPr>
              <w:t>Warszawa: PWN.</w:t>
            </w:r>
          </w:p>
          <w:p w14:paraId="6FF940A3" w14:textId="77777777" w:rsidR="0061791C" w:rsidRPr="00DF4799" w:rsidRDefault="0061791C" w:rsidP="0061791C">
            <w:pPr>
              <w:numPr>
                <w:ilvl w:val="0"/>
                <w:numId w:val="1"/>
              </w:numPr>
              <w:spacing w:after="0" w:line="240" w:lineRule="auto"/>
              <w:ind w:left="351" w:hanging="357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Bedyńska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 Sylwia, Książek, Monika. 2012.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Statystyczny drogowskaz 3. Praktyczne wykorzystanie modeli regresji i modelowania strukturalnego. </w:t>
            </w:r>
            <w:r w:rsidRPr="00DF4799">
              <w:rPr>
                <w:rFonts w:ascii="Verdana" w:hAnsi="Verdana"/>
                <w:sz w:val="18"/>
              </w:rPr>
              <w:t>Warszawa: Sedno, SWPS.</w:t>
            </w:r>
          </w:p>
          <w:p w14:paraId="4831AC4B" w14:textId="77777777" w:rsidR="0061791C" w:rsidRDefault="0061791C" w:rsidP="0061791C">
            <w:pPr>
              <w:numPr>
                <w:ilvl w:val="0"/>
                <w:numId w:val="1"/>
              </w:numPr>
              <w:spacing w:after="0" w:line="240" w:lineRule="auto"/>
              <w:ind w:left="351" w:hanging="357"/>
              <w:rPr>
                <w:rFonts w:ascii="Verdana" w:hAnsi="Verdana"/>
                <w:sz w:val="18"/>
              </w:rPr>
            </w:pPr>
            <w:proofErr w:type="spellStart"/>
            <w:r w:rsidRPr="00DF4799">
              <w:rPr>
                <w:rFonts w:ascii="Verdana" w:hAnsi="Verdana"/>
                <w:sz w:val="18"/>
              </w:rPr>
              <w:t>Blalock</w:t>
            </w:r>
            <w:proofErr w:type="spellEnd"/>
            <w:r w:rsidRPr="00DF4799">
              <w:rPr>
                <w:rFonts w:ascii="Verdana" w:hAnsi="Verdana"/>
                <w:sz w:val="18"/>
              </w:rPr>
              <w:t xml:space="preserve">, H.M. 1977. </w:t>
            </w:r>
            <w:r w:rsidRPr="00DF4799">
              <w:rPr>
                <w:rFonts w:ascii="Verdana" w:hAnsi="Verdana"/>
                <w:i/>
                <w:sz w:val="18"/>
              </w:rPr>
              <w:t xml:space="preserve">Statystyka dla socjologów. </w:t>
            </w:r>
            <w:r w:rsidRPr="00DF4799">
              <w:rPr>
                <w:rFonts w:ascii="Verdana" w:hAnsi="Verdana"/>
                <w:sz w:val="18"/>
              </w:rPr>
              <w:t>Warszawa: PWN.</w:t>
            </w:r>
          </w:p>
          <w:p w14:paraId="34AB957C" w14:textId="77777777" w:rsidR="0061791C" w:rsidRDefault="0061791C" w:rsidP="0061791C">
            <w:pPr>
              <w:numPr>
                <w:ilvl w:val="0"/>
                <w:numId w:val="1"/>
              </w:numPr>
              <w:spacing w:after="0" w:line="240" w:lineRule="auto"/>
              <w:ind w:left="351" w:hanging="357"/>
              <w:rPr>
                <w:rFonts w:ascii="Verdana" w:hAnsi="Verdana"/>
                <w:sz w:val="18"/>
              </w:rPr>
            </w:pPr>
            <w:r w:rsidRPr="0061791C">
              <w:rPr>
                <w:rFonts w:ascii="Verdana" w:hAnsi="Verdana"/>
                <w:sz w:val="18"/>
              </w:rPr>
              <w:t xml:space="preserve">Ferguson, G.A. </w:t>
            </w:r>
            <w:proofErr w:type="spellStart"/>
            <w:r w:rsidRPr="0061791C">
              <w:rPr>
                <w:rFonts w:ascii="Verdana" w:hAnsi="Verdana"/>
                <w:sz w:val="18"/>
              </w:rPr>
              <w:t>Takane</w:t>
            </w:r>
            <w:proofErr w:type="spellEnd"/>
            <w:r w:rsidRPr="0061791C">
              <w:rPr>
                <w:rFonts w:ascii="Verdana" w:hAnsi="Verdana"/>
                <w:sz w:val="18"/>
              </w:rPr>
              <w:t xml:space="preserve">, Y. 1997. </w:t>
            </w:r>
            <w:r w:rsidRPr="0061791C">
              <w:rPr>
                <w:rFonts w:ascii="Verdana" w:hAnsi="Verdana"/>
                <w:i/>
                <w:sz w:val="18"/>
              </w:rPr>
              <w:t xml:space="preserve">Analiza statystyczna w psychologii i pedagogice. </w:t>
            </w:r>
            <w:r w:rsidRPr="0061791C">
              <w:rPr>
                <w:rFonts w:ascii="Verdana" w:hAnsi="Verdana"/>
                <w:sz w:val="18"/>
              </w:rPr>
              <w:t>Warszawa: PWN.</w:t>
            </w:r>
          </w:p>
          <w:p w14:paraId="35928087" w14:textId="77777777" w:rsidR="0061791C" w:rsidRPr="0061791C" w:rsidRDefault="0061791C" w:rsidP="0061791C">
            <w:pPr>
              <w:numPr>
                <w:ilvl w:val="0"/>
                <w:numId w:val="1"/>
              </w:numPr>
              <w:spacing w:after="0" w:line="240" w:lineRule="auto"/>
              <w:ind w:left="351" w:hanging="357"/>
              <w:rPr>
                <w:rFonts w:ascii="Verdana" w:hAnsi="Verdana"/>
                <w:sz w:val="18"/>
              </w:rPr>
            </w:pPr>
            <w:r w:rsidRPr="0061791C">
              <w:rPr>
                <w:rFonts w:ascii="Verdana" w:hAnsi="Verdana"/>
                <w:sz w:val="18"/>
              </w:rPr>
              <w:t xml:space="preserve">Lissowski, Grzegorz; Haman, Jacek; Jasiński, Mikołaj. 2011. </w:t>
            </w:r>
            <w:r w:rsidRPr="0061791C">
              <w:rPr>
                <w:rFonts w:ascii="Verdana" w:hAnsi="Verdana"/>
                <w:i/>
                <w:sz w:val="18"/>
              </w:rPr>
              <w:t xml:space="preserve">Podstawy statystyki dla socjologów. </w:t>
            </w:r>
            <w:r w:rsidRPr="0061791C">
              <w:rPr>
                <w:rFonts w:ascii="Verdana" w:hAnsi="Verdana"/>
                <w:sz w:val="18"/>
              </w:rPr>
              <w:t>Warszawa: Scholar.</w:t>
            </w:r>
          </w:p>
          <w:p w14:paraId="505983A6" w14:textId="77777777" w:rsidR="00714DCE" w:rsidRPr="0061791C" w:rsidRDefault="0061791C" w:rsidP="0061791C">
            <w:pPr>
              <w:numPr>
                <w:ilvl w:val="0"/>
                <w:numId w:val="1"/>
              </w:numPr>
              <w:spacing w:after="120" w:line="240" w:lineRule="auto"/>
              <w:ind w:left="356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Wieczorkowska Grażyna. Kochański, Piotr. </w:t>
            </w:r>
            <w:proofErr w:type="spellStart"/>
            <w:r>
              <w:rPr>
                <w:rFonts w:ascii="Verdana" w:hAnsi="Verdana"/>
                <w:sz w:val="18"/>
              </w:rPr>
              <w:t>Eljaszuk</w:t>
            </w:r>
            <w:proofErr w:type="spellEnd"/>
            <w:r>
              <w:rPr>
                <w:rFonts w:ascii="Verdana" w:hAnsi="Verdana"/>
                <w:sz w:val="18"/>
              </w:rPr>
              <w:t xml:space="preserve">, Magdalena. 2003. </w:t>
            </w:r>
            <w:r>
              <w:rPr>
                <w:rFonts w:ascii="Verdana" w:hAnsi="Verdana"/>
                <w:i/>
                <w:iCs/>
                <w:sz w:val="18"/>
              </w:rPr>
              <w:t xml:space="preserve">Statystyka. Wprowadzenie do analizy danych sondażowych i eksperymentalnych. </w:t>
            </w:r>
            <w:r>
              <w:rPr>
                <w:rFonts w:ascii="Verdana" w:hAnsi="Verdana"/>
                <w:sz w:val="18"/>
              </w:rPr>
              <w:t>Warszawa: Scholar.</w:t>
            </w:r>
          </w:p>
        </w:tc>
      </w:tr>
    </w:tbl>
    <w:p w14:paraId="7A70297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BF3A56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D1C4A7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</w:p>
    <w:p w14:paraId="1162657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54CB077F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6DC6293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4FBE6609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565D4FCB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18D50597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0BEB6A6F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615EC8E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0C4D9EE2" w14:textId="77777777" w:rsidR="00714DCE" w:rsidRDefault="006E150F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09CC4C88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F44424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8AE8DA2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1B7C4769" w14:textId="0D6F921C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072F34B3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7DA0B885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19D3D29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6E42792A" w14:textId="0C44F858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508BF482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90574FE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2166166F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647751DA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29524A39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42FF0AD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E30E155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14415478" w14:textId="798D6049" w:rsidR="00714DCE" w:rsidRDefault="00FA65D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 w14:paraId="0A60336B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54F64340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067EC03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47A1199B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205CA520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7A136C3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6EBE94BA" w14:textId="7143F281" w:rsidR="00714DCE" w:rsidRDefault="001711F6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714DCE" w14:paraId="45C52C02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D37725A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732AA33C" w14:textId="6E641182" w:rsidR="00714DCE" w:rsidRDefault="00FA65D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38362244" w14:textId="77777777" w:rsidR="00714DCE" w:rsidRDefault="00714DCE"/>
    <w:sectPr w:rsidR="00714DCE" w:rsidSect="00AC3523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165B1" w14:textId="77777777" w:rsidR="001E0805" w:rsidRDefault="001E0805">
      <w:pPr>
        <w:spacing w:after="0" w:line="240" w:lineRule="auto"/>
      </w:pPr>
      <w:r>
        <w:separator/>
      </w:r>
    </w:p>
  </w:endnote>
  <w:endnote w:type="continuationSeparator" w:id="0">
    <w:p w14:paraId="6E93787F" w14:textId="77777777" w:rsidR="001E0805" w:rsidRDefault="001E0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0059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04E801F2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66DE" w14:textId="77777777" w:rsidR="001E0805" w:rsidRDefault="001E0805">
      <w:pPr>
        <w:spacing w:after="0" w:line="240" w:lineRule="auto"/>
      </w:pPr>
      <w:r>
        <w:separator/>
      </w:r>
    </w:p>
  </w:footnote>
  <w:footnote w:type="continuationSeparator" w:id="0">
    <w:p w14:paraId="768EEF9E" w14:textId="77777777" w:rsidR="001E0805" w:rsidRDefault="001E0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FF2F1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1A4E2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C2018"/>
    <w:multiLevelType w:val="hybridMultilevel"/>
    <w:tmpl w:val="0F684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57770"/>
    <w:multiLevelType w:val="hybridMultilevel"/>
    <w:tmpl w:val="BA04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B59B3"/>
    <w:multiLevelType w:val="hybridMultilevel"/>
    <w:tmpl w:val="1CE84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194320">
    <w:abstractNumId w:val="0"/>
  </w:num>
  <w:num w:numId="2" w16cid:durableId="673999351">
    <w:abstractNumId w:val="0"/>
  </w:num>
  <w:num w:numId="3" w16cid:durableId="1707560282">
    <w:abstractNumId w:val="1"/>
  </w:num>
  <w:num w:numId="4" w16cid:durableId="947395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1065A5"/>
    <w:rsid w:val="00120130"/>
    <w:rsid w:val="001711F6"/>
    <w:rsid w:val="001E0805"/>
    <w:rsid w:val="001F4795"/>
    <w:rsid w:val="0022100D"/>
    <w:rsid w:val="00250436"/>
    <w:rsid w:val="002C5825"/>
    <w:rsid w:val="003066BC"/>
    <w:rsid w:val="003322F1"/>
    <w:rsid w:val="00336DA5"/>
    <w:rsid w:val="003D1D19"/>
    <w:rsid w:val="00420D0D"/>
    <w:rsid w:val="004F3A8E"/>
    <w:rsid w:val="0056691A"/>
    <w:rsid w:val="005762A0"/>
    <w:rsid w:val="00612EC9"/>
    <w:rsid w:val="0061791C"/>
    <w:rsid w:val="006A2C0B"/>
    <w:rsid w:val="006B71AE"/>
    <w:rsid w:val="006E150F"/>
    <w:rsid w:val="00714DCE"/>
    <w:rsid w:val="00742090"/>
    <w:rsid w:val="007A4DFF"/>
    <w:rsid w:val="007E406F"/>
    <w:rsid w:val="009105D2"/>
    <w:rsid w:val="00AA34D4"/>
    <w:rsid w:val="00AC3523"/>
    <w:rsid w:val="00B34138"/>
    <w:rsid w:val="00BB6993"/>
    <w:rsid w:val="00C21ADA"/>
    <w:rsid w:val="00C57254"/>
    <w:rsid w:val="00C76DE0"/>
    <w:rsid w:val="00C9234E"/>
    <w:rsid w:val="00D54CC1"/>
    <w:rsid w:val="00DE30DC"/>
    <w:rsid w:val="00DF2C91"/>
    <w:rsid w:val="00E05287"/>
    <w:rsid w:val="00E71351"/>
    <w:rsid w:val="00EF38A8"/>
    <w:rsid w:val="00FA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5D3E"/>
  <w15:chartTrackingRefBased/>
  <w15:docId w15:val="{77CB0F45-826E-47B0-8F5E-4B841489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17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926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2024-01-13T21:17:00Z</dcterms:created>
  <dcterms:modified xsi:type="dcterms:W3CDTF">2024-01-13T21:17:00Z</dcterms:modified>
</cp:coreProperties>
</file>