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F64AC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Warsztat badacza </w:t>
            </w:r>
            <w:r w:rsidR="00BF2A17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– badania ilościowe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F64AC1" w:rsidRDefault="00F64AC1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Quantitative</w:t>
            </w:r>
            <w:r w:rsidR="00337A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Social</w:t>
            </w:r>
            <w:r w:rsidR="00337A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64AC1">
              <w:rPr>
                <w:rFonts w:ascii="Arial" w:hAnsi="Arial" w:cs="Arial"/>
                <w:i/>
                <w:iCs/>
                <w:sz w:val="20"/>
                <w:szCs w:val="20"/>
              </w:rPr>
              <w:t>Research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337A0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A0C">
              <w:rPr>
                <w:rFonts w:ascii="Arial" w:hAnsi="Arial" w:cs="Arial"/>
                <w:sz w:val="20"/>
                <w:szCs w:val="20"/>
              </w:rPr>
              <w:t>Dr hab. prof. UKEN Mariusz Dzięglewski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337A0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A0C">
              <w:rPr>
                <w:rFonts w:ascii="Arial" w:hAnsi="Arial" w:cs="Arial"/>
                <w:sz w:val="20"/>
                <w:szCs w:val="20"/>
              </w:rPr>
              <w:t>Dr hab. prof. UKEN Mariusz Dzięglewski</w:t>
            </w:r>
          </w:p>
          <w:p w:rsidR="005C5835" w:rsidRDefault="005C583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A41F7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4C01BA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 xml:space="preserve">Celem kursu jest zapoznanie uczestników i uczestniczek ze specyfiką projektowania i prowadzenia badań ilościowych, w szczególności sondażu. Wykonywane w trakcie zajęć oraz zadawane do wykonania w grupach ćwiczenia służą nabywaniu kompetencji w tym zakresie. 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Znajomość poszczególnych etapów planowania badań społecznych, wiedza na temat metod i technik badawczych w socjologii.</w:t>
            </w:r>
          </w:p>
          <w:p w:rsidR="00303F50" w:rsidRDefault="00303F50" w:rsidP="004C01BA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C01BA" w:rsidRPr="004C01BA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Ukończony kurs z metod badań społecznych.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Zna metody i narzędzia pozyskiwania danych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właściwe dla socjologii (ilościowe i jakościowe),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pozwalające opisywać grupy i instytucje społeczne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oraz procesy zachodzące wewnątrz nich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Potrafi prognozować skutki złożonych procesów 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zjawisk społecznych z wykorzystaniem standardowych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metod i narzędzi socjologii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2D4485">
              <w:rPr>
                <w:rFonts w:ascii="Arial" w:hAnsi="Arial" w:cs="Arial"/>
                <w:sz w:val="20"/>
                <w:szCs w:val="20"/>
              </w:rPr>
              <w:t>Potrafi formułować pytania i hipotezy badawcze,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identyfikować zmienne, tworzyć wskaźniki w oparciu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o metodologię badań społecznych oraz ogólnie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obowiązujące systemy normatywne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t>Rozumie znaczenie dyskusji jako podstawowego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narzędzia poszukiwań intelektualnych; jest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człowiekiem doceniającym znaczenie niezależności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myślenia oraz krytycznego dystansu wobec opinii</w:t>
            </w:r>
            <w:r w:rsidR="002D4485" w:rsidRPr="002D4485">
              <w:rPr>
                <w:rFonts w:ascii="Arial" w:hAnsi="Arial" w:cs="Arial"/>
                <w:sz w:val="20"/>
                <w:szCs w:val="20"/>
              </w:rPr>
              <w:br/>
              <w:t>własnych i cudzych</w:t>
            </w:r>
            <w:r w:rsidR="002D448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2D4485">
              <w:rPr>
                <w:rFonts w:ascii="Arial" w:hAnsi="Arial" w:cs="Arial"/>
                <w:sz w:val="20"/>
                <w:szCs w:val="20"/>
              </w:rPr>
              <w:t>Potrafi uczestniczyć w przygotowaniu projektów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społecznych, uwzględniając ich różne aspekty (np.</w:t>
            </w:r>
            <w:r w:rsidRPr="002D4485">
              <w:rPr>
                <w:rFonts w:ascii="Arial" w:hAnsi="Arial" w:cs="Arial"/>
                <w:sz w:val="20"/>
                <w:szCs w:val="20"/>
              </w:rPr>
              <w:br/>
              <w:t>ekonomiczne, polityczne)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303F50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485" w:rsidRDefault="002D4485">
            <w:pPr>
              <w:rPr>
                <w:rFonts w:ascii="Arial" w:hAnsi="Arial" w:cs="Arial"/>
                <w:sz w:val="20"/>
                <w:szCs w:val="20"/>
              </w:rPr>
            </w:pPr>
            <w:r w:rsidRPr="002D4485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98209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4C01BA" w:rsidRPr="00577E28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W ramach przygotowania do zajęć uczestnicy i uczestniczki kursu czytają literaturę oraz wykonują zadania, które omawiane są na początku każdego spotkania. W trakcie kursu przewidziane są także kolokwia sprawdzające znajomość literatury (na początku zajęć). </w:t>
            </w:r>
          </w:p>
          <w:p w:rsidR="00303F50" w:rsidRDefault="004C01BA" w:rsidP="004C01BA">
            <w:pPr>
              <w:ind w:firstLine="708"/>
              <w:rPr>
                <w:rFonts w:ascii="Arial" w:hAnsi="Arial" w:cs="Arial"/>
                <w:sz w:val="22"/>
                <w:szCs w:val="16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Zasadnicza część zajęć ma formę warsztatową i polega na ćwiczeniu umiejętności projektowania oraz prowadzenia badań z wykorzystaniem metod ilościowych. Efektem pracy w trakcie semestru jest przygotowanie w grupach projektu badania 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 narzędzia do badania ilościowego</w:t>
            </w:r>
            <w:r>
              <w:rPr>
                <w:rFonts w:ascii="Verdana" w:hAnsi="Verdana"/>
                <w:sz w:val="18"/>
                <w:szCs w:val="18"/>
              </w:rPr>
              <w:t>, oraz realizacja badania i opracowanie jego wyników (ankieta online)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2D44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4C01BA" w:rsidRPr="00577E28" w:rsidRDefault="004C01BA" w:rsidP="004C01BA">
            <w:pPr>
              <w:rPr>
                <w:rFonts w:ascii="Verdana" w:hAnsi="Verdana"/>
                <w:sz w:val="18"/>
                <w:szCs w:val="18"/>
              </w:rPr>
            </w:pPr>
            <w:r w:rsidRPr="00577E28">
              <w:rPr>
                <w:rFonts w:ascii="Verdana" w:hAnsi="Verdana"/>
                <w:sz w:val="18"/>
                <w:szCs w:val="18"/>
              </w:rPr>
              <w:t xml:space="preserve">Każdy uczestnik/uczestniczka zajęć ma prawo do </w:t>
            </w:r>
            <w:r>
              <w:rPr>
                <w:rFonts w:ascii="Verdana" w:hAnsi="Verdana"/>
                <w:sz w:val="18"/>
                <w:szCs w:val="18"/>
              </w:rPr>
              <w:t>dwóch</w:t>
            </w:r>
            <w:r w:rsidRPr="00577E28">
              <w:rPr>
                <w:rFonts w:ascii="Verdana" w:hAnsi="Verdana"/>
                <w:sz w:val="18"/>
                <w:szCs w:val="18"/>
              </w:rPr>
              <w:t xml:space="preserve"> nieobecności oraz jednego dłuższego spóźnienia lub wcześniejszego wyjścia (maksymalnie 30 minut). Każda dodatkowa nieobecność oraz spóźnienie/wcześniejsze wyjście powoduje obniżenie oceny końcowej. Brak przygotowania do zajęć jest równoznaczny z nieobecnością.</w:t>
            </w:r>
          </w:p>
          <w:p w:rsidR="004C01BA" w:rsidRPr="00577E28" w:rsidRDefault="004C01BA" w:rsidP="004C01BA">
            <w:pPr>
              <w:rPr>
                <w:rFonts w:ascii="Verdana" w:hAnsi="Verdana"/>
                <w:b/>
                <w:sz w:val="16"/>
                <w:szCs w:val="18"/>
              </w:rPr>
            </w:pPr>
          </w:p>
          <w:tbl>
            <w:tblPr>
              <w:tblW w:w="9212" w:type="dxa"/>
              <w:tblLayout w:type="fixed"/>
              <w:tblLook w:val="04A0"/>
            </w:tblPr>
            <w:tblGrid>
              <w:gridCol w:w="5258"/>
              <w:gridCol w:w="3954"/>
            </w:tblGrid>
            <w:tr w:rsidR="004C01BA" w:rsidRPr="00577E28">
              <w:tc>
                <w:tcPr>
                  <w:tcW w:w="5258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  <w:tc>
                <w:tcPr>
                  <w:tcW w:w="3954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b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b/>
                      <w:sz w:val="16"/>
                      <w:szCs w:val="18"/>
                    </w:rPr>
                    <w:t>% oceny końcowej</w:t>
                  </w:r>
                </w:p>
              </w:tc>
            </w:tr>
            <w:tr w:rsidR="004C01BA" w:rsidRPr="00577E28">
              <w:tc>
                <w:tcPr>
                  <w:tcW w:w="5258" w:type="dxa"/>
                  <w:shd w:val="clear" w:color="auto" w:fill="auto"/>
                </w:tcPr>
                <w:p w:rsidR="004C01BA" w:rsidRDefault="004C01BA">
                  <w:pPr>
                    <w:widowControl/>
                    <w:numPr>
                      <w:ilvl w:val="0"/>
                      <w:numId w:val="5"/>
                    </w:numPr>
                    <w:suppressAutoHyphens w:val="0"/>
                    <w:autoSpaceDE/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Kolokwia sprawdzające znajomość literatury.</w:t>
                  </w:r>
                </w:p>
              </w:tc>
              <w:tc>
                <w:tcPr>
                  <w:tcW w:w="3954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30%</w:t>
                  </w:r>
                </w:p>
              </w:tc>
            </w:tr>
            <w:tr w:rsidR="004C01BA" w:rsidRPr="00577E28">
              <w:tc>
                <w:tcPr>
                  <w:tcW w:w="5258" w:type="dxa"/>
                  <w:shd w:val="clear" w:color="auto" w:fill="auto"/>
                </w:tcPr>
                <w:p w:rsidR="004C01BA" w:rsidRDefault="004C01BA">
                  <w:pPr>
                    <w:widowControl/>
                    <w:numPr>
                      <w:ilvl w:val="0"/>
                      <w:numId w:val="5"/>
                    </w:numPr>
                    <w:suppressAutoHyphens w:val="0"/>
                    <w:autoSpaceDE/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Udział w tworzeniu projektu badania – wykonywanie zadań na zaliczenie (indywidualnie lub w grupach).</w:t>
                  </w:r>
                </w:p>
              </w:tc>
              <w:tc>
                <w:tcPr>
                  <w:tcW w:w="3954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70%</w:t>
                  </w:r>
                </w:p>
              </w:tc>
            </w:tr>
          </w:tbl>
          <w:p w:rsidR="004C01BA" w:rsidRPr="00577E28" w:rsidRDefault="004C01BA" w:rsidP="004C01BA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4C01BA" w:rsidRPr="00577E28" w:rsidRDefault="004C01BA" w:rsidP="004C01BA">
            <w:pPr>
              <w:rPr>
                <w:rFonts w:ascii="Verdana" w:hAnsi="Verdana"/>
                <w:b/>
                <w:sz w:val="16"/>
                <w:szCs w:val="18"/>
              </w:rPr>
            </w:pPr>
            <w:r w:rsidRPr="00577E28">
              <w:rPr>
                <w:rFonts w:ascii="Verdana" w:hAnsi="Verdana"/>
                <w:b/>
                <w:sz w:val="16"/>
                <w:szCs w:val="18"/>
              </w:rPr>
              <w:t>Ocena końcowa:</w:t>
            </w:r>
          </w:p>
          <w:tbl>
            <w:tblPr>
              <w:tblW w:w="23496" w:type="dxa"/>
              <w:tblLayout w:type="fixed"/>
              <w:tblLook w:val="04A0"/>
            </w:tblPr>
            <w:tblGrid>
              <w:gridCol w:w="1242"/>
              <w:gridCol w:w="828"/>
              <w:gridCol w:w="1157"/>
              <w:gridCol w:w="13127"/>
              <w:gridCol w:w="7142"/>
            </w:tblGrid>
            <w:tr w:rsidR="004C01BA" w:rsidRPr="00577E28">
              <w:tc>
                <w:tcPr>
                  <w:tcW w:w="12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90-100%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5.0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75-79%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3.5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  <w:tr w:rsidR="004C01BA" w:rsidRPr="00577E28">
              <w:tc>
                <w:tcPr>
                  <w:tcW w:w="12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85-89%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4.5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70-74%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3.0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  <w:tr w:rsidR="004C01BA" w:rsidRPr="00577E28">
              <w:tc>
                <w:tcPr>
                  <w:tcW w:w="12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80-84%</w:t>
                  </w:r>
                </w:p>
              </w:tc>
              <w:tc>
                <w:tcPr>
                  <w:tcW w:w="82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4.0</w:t>
                  </w:r>
                </w:p>
              </w:tc>
              <w:tc>
                <w:tcPr>
                  <w:tcW w:w="115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0-69%</w:t>
                  </w:r>
                </w:p>
              </w:tc>
              <w:tc>
                <w:tcPr>
                  <w:tcW w:w="13127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  <w:r>
                    <w:rPr>
                      <w:rFonts w:ascii="Verdana" w:eastAsia="Calibri" w:hAnsi="Verdana"/>
                      <w:sz w:val="16"/>
                      <w:szCs w:val="18"/>
                    </w:rPr>
                    <w:t>= 2.0</w:t>
                  </w:r>
                </w:p>
              </w:tc>
              <w:tc>
                <w:tcPr>
                  <w:tcW w:w="7142" w:type="dxa"/>
                  <w:shd w:val="clear" w:color="auto" w:fill="auto"/>
                </w:tcPr>
                <w:p w:rsidR="004C01BA" w:rsidRDefault="004C01BA">
                  <w:pPr>
                    <w:spacing w:afterAutospacing="1"/>
                    <w:jc w:val="both"/>
                    <w:rPr>
                      <w:rFonts w:ascii="Verdana" w:eastAsia="Calibri" w:hAnsi="Verdana"/>
                      <w:sz w:val="16"/>
                      <w:szCs w:val="18"/>
                    </w:rPr>
                  </w:pPr>
                </w:p>
              </w:tc>
            </w:tr>
          </w:tbl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F50" w:rsidRPr="004C01BA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Wprowadzenie w tematykę zajęć. Specyfika metod ilościowych w naukach społecznych. Etapy postępowania badawczego – przypomnienie. Plan badań ilościowych, pytania i hipotezy badawcze.</w:t>
            </w:r>
          </w:p>
          <w:p w:rsidR="004C01BA" w:rsidRPr="004C01BA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4C01BA">
              <w:rPr>
                <w:rFonts w:ascii="Verdana" w:hAnsi="Verdana"/>
                <w:sz w:val="18"/>
                <w:szCs w:val="18"/>
              </w:rPr>
              <w:t>Konceptualizacja, operacjonalizacja i pomiar.</w:t>
            </w:r>
          </w:p>
          <w:p w:rsidR="004C01BA" w:rsidRPr="0098209E" w:rsidRDefault="004C01BA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 xml:space="preserve">Cechy badań sondażowych. Zasady budowy kwestionariusza. Ankieta internetowa – zalety i </w:t>
            </w:r>
            <w:r w:rsidRPr="0098209E">
              <w:rPr>
                <w:rFonts w:ascii="Verdana" w:hAnsi="Verdana"/>
                <w:sz w:val="18"/>
                <w:szCs w:val="18"/>
              </w:rPr>
              <w:lastRenderedPageBreak/>
              <w:t>wady.</w:t>
            </w:r>
          </w:p>
          <w:p w:rsidR="0098209E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Dobór próby w badaniach ilościowych. Analiza i interpretacja danych ilościowych.</w:t>
            </w:r>
          </w:p>
          <w:p w:rsidR="004C01BA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Pilotaż kwestionariusza ankiety i realizacja badania.</w:t>
            </w:r>
          </w:p>
          <w:p w:rsidR="0098209E" w:rsidRPr="0098209E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Opracowanie zebranych danych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8209E" w:rsidRPr="004C01BA" w:rsidRDefault="0098209E" w:rsidP="0098209E">
            <w:pPr>
              <w:widowControl/>
              <w:numPr>
                <w:ilvl w:val="0"/>
                <w:numId w:val="10"/>
              </w:numPr>
              <w:suppressAutoHyphens w:val="0"/>
              <w:autoSpaceDE/>
              <w:rPr>
                <w:rFonts w:ascii="Verdana" w:hAnsi="Verdana"/>
                <w:sz w:val="16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Wstępna analiza wyników. Podsumowanie zajęć.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E03783" w:rsidRDefault="00E03783" w:rsidP="00E03783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C158C3">
              <w:rPr>
                <w:rFonts w:ascii="Verdana" w:hAnsi="Verdana"/>
                <w:sz w:val="18"/>
                <w:szCs w:val="18"/>
              </w:rPr>
              <w:t xml:space="preserve">Babbie, Earl. 2009. </w:t>
            </w:r>
            <w:r w:rsidRPr="00C158C3">
              <w:rPr>
                <w:rFonts w:ascii="Verdana" w:hAnsi="Verdana"/>
                <w:i/>
                <w:sz w:val="18"/>
                <w:szCs w:val="18"/>
              </w:rPr>
              <w:t xml:space="preserve">Podstawy badań społecznych. </w:t>
            </w:r>
            <w:r w:rsidRPr="00C158C3">
              <w:rPr>
                <w:rFonts w:ascii="Verdana" w:hAnsi="Verdana"/>
                <w:sz w:val="18"/>
                <w:szCs w:val="18"/>
              </w:rPr>
              <w:t>Warszawa: PWN.</w:t>
            </w:r>
          </w:p>
          <w:p w:rsidR="00E03783" w:rsidRPr="00717333" w:rsidRDefault="00E03783" w:rsidP="00E0378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Fonts w:ascii="Verdana" w:hAnsi="Verdana"/>
                <w:sz w:val="18"/>
              </w:rPr>
            </w:pPr>
            <w:r w:rsidRPr="00717333">
              <w:rPr>
                <w:rFonts w:ascii="Verdana" w:hAnsi="Verdana"/>
                <w:sz w:val="18"/>
              </w:rPr>
              <w:t xml:space="preserve">Józefacka, Natalia M.; Kołek, Mateusz F; Arciszewska-Leszczuk Aleksandra. 2023. </w:t>
            </w:r>
            <w:r w:rsidRPr="00717333">
              <w:rPr>
                <w:rFonts w:ascii="Verdana" w:hAnsi="Verdana"/>
                <w:i/>
                <w:iCs/>
                <w:sz w:val="18"/>
              </w:rPr>
              <w:t xml:space="preserve">Metodologia i statystyka. Przewodnik naukowego turysty. </w:t>
            </w:r>
            <w:r w:rsidRPr="00717333">
              <w:rPr>
                <w:rFonts w:ascii="Verdana" w:hAnsi="Verdana"/>
                <w:sz w:val="18"/>
              </w:rPr>
              <w:t>Warszawa: Wydawnictwo Naukowe PWN.</w:t>
            </w:r>
            <w:r>
              <w:rPr>
                <w:rFonts w:ascii="Verdana" w:hAnsi="Verdana"/>
                <w:sz w:val="18"/>
              </w:rPr>
              <w:t xml:space="preserve"> [część 1 i 2]</w:t>
            </w:r>
          </w:p>
          <w:p w:rsidR="00E03783" w:rsidRPr="00C158C3" w:rsidRDefault="00E03783" w:rsidP="00E03783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C158C3">
              <w:rPr>
                <w:rFonts w:ascii="Verdana" w:hAnsi="Verdana"/>
                <w:sz w:val="18"/>
                <w:szCs w:val="18"/>
              </w:rPr>
              <w:t xml:space="preserve">Siuda, Piotr (red.). 2016. </w:t>
            </w:r>
            <w:r w:rsidRPr="00C158C3">
              <w:rPr>
                <w:rFonts w:ascii="Verdana" w:hAnsi="Verdana"/>
                <w:i/>
                <w:sz w:val="18"/>
                <w:szCs w:val="18"/>
              </w:rPr>
              <w:t xml:space="preserve">Metody badań online. </w:t>
            </w:r>
            <w:r w:rsidRPr="00C158C3">
              <w:rPr>
                <w:rFonts w:ascii="Verdana" w:hAnsi="Verdana"/>
                <w:sz w:val="18"/>
                <w:szCs w:val="18"/>
              </w:rPr>
              <w:t>Wyd. Naukowe Katedra.</w:t>
            </w:r>
          </w:p>
          <w:p w:rsidR="00303F50" w:rsidRPr="004C01BA" w:rsidRDefault="00303F50" w:rsidP="00E03783">
            <w:pPr>
              <w:widowControl/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98209E" w:rsidRPr="0098209E" w:rsidRDefault="0098209E" w:rsidP="0098209E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Górniak, Jarosław. Wachnicki, Janusz. 2010. Pierwsze kroki w analizie danych. Kraków: SPSS Polska, s. 95-142 (rozdziały 9-11), opcjonalnie rozdział 8.</w:t>
            </w:r>
          </w:p>
          <w:p w:rsidR="00303F50" w:rsidRPr="0098209E" w:rsidRDefault="004C01BA" w:rsidP="0098209E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Verdana" w:hAnsi="Verdana"/>
                <w:sz w:val="18"/>
                <w:szCs w:val="18"/>
              </w:rPr>
            </w:pPr>
            <w:r w:rsidRPr="0098209E">
              <w:rPr>
                <w:rFonts w:ascii="Verdana" w:hAnsi="Verdana"/>
                <w:sz w:val="18"/>
                <w:szCs w:val="18"/>
              </w:rPr>
              <w:t>Szlendak Tomasz, Karwacki Arkadiusz. 2010. Koncepcja poziomicy – cudowne lekarstwo czy utopijna terapia? Studia Socjologiczne, 1(196), s. 35-67.</w:t>
            </w:r>
          </w:p>
          <w:p w:rsidR="004C01BA" w:rsidRDefault="004C01BA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64AC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F48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F48E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A41F7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A41F7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609" w:rsidRDefault="00A46609">
      <w:r>
        <w:separator/>
      </w:r>
    </w:p>
  </w:endnote>
  <w:endnote w:type="continuationSeparator" w:id="1">
    <w:p w:rsidR="00A46609" w:rsidRDefault="00A4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1779E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5C5835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609" w:rsidRDefault="00A46609">
      <w:r>
        <w:separator/>
      </w:r>
    </w:p>
  </w:footnote>
  <w:footnote w:type="continuationSeparator" w:id="1">
    <w:p w:rsidR="00A46609" w:rsidRDefault="00A46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6EE0C39"/>
    <w:multiLevelType w:val="hybridMultilevel"/>
    <w:tmpl w:val="5706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46895"/>
    <w:multiLevelType w:val="hybridMultilevel"/>
    <w:tmpl w:val="179E8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F06E5"/>
    <w:multiLevelType w:val="hybridMultilevel"/>
    <w:tmpl w:val="0DCCB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B01BE"/>
    <w:multiLevelType w:val="hybridMultilevel"/>
    <w:tmpl w:val="F222B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6C2018"/>
    <w:multiLevelType w:val="hybridMultilevel"/>
    <w:tmpl w:val="D17C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EA6640"/>
    <w:multiLevelType w:val="hybridMultilevel"/>
    <w:tmpl w:val="9710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57A2E"/>
    <w:rsid w:val="00293D67"/>
    <w:rsid w:val="002D4485"/>
    <w:rsid w:val="00303F50"/>
    <w:rsid w:val="00333821"/>
    <w:rsid w:val="00334F8F"/>
    <w:rsid w:val="00337A0C"/>
    <w:rsid w:val="003A49DD"/>
    <w:rsid w:val="003E6885"/>
    <w:rsid w:val="003F48E7"/>
    <w:rsid w:val="00434CDD"/>
    <w:rsid w:val="0044050E"/>
    <w:rsid w:val="004C01BA"/>
    <w:rsid w:val="00533C41"/>
    <w:rsid w:val="005479C0"/>
    <w:rsid w:val="0058400A"/>
    <w:rsid w:val="005C5835"/>
    <w:rsid w:val="006E0376"/>
    <w:rsid w:val="00700CD5"/>
    <w:rsid w:val="00716872"/>
    <w:rsid w:val="007B0D7F"/>
    <w:rsid w:val="0081779E"/>
    <w:rsid w:val="00827D3B"/>
    <w:rsid w:val="00847145"/>
    <w:rsid w:val="008B703C"/>
    <w:rsid w:val="008E5C09"/>
    <w:rsid w:val="009026FF"/>
    <w:rsid w:val="0098209E"/>
    <w:rsid w:val="00984C8D"/>
    <w:rsid w:val="009F04D7"/>
    <w:rsid w:val="00A35A93"/>
    <w:rsid w:val="00A41F7E"/>
    <w:rsid w:val="00A46609"/>
    <w:rsid w:val="00A8544F"/>
    <w:rsid w:val="00BF2A17"/>
    <w:rsid w:val="00C226BA"/>
    <w:rsid w:val="00C406F2"/>
    <w:rsid w:val="00D32FBE"/>
    <w:rsid w:val="00DB3679"/>
    <w:rsid w:val="00DE2A4C"/>
    <w:rsid w:val="00E03783"/>
    <w:rsid w:val="00E1778B"/>
    <w:rsid w:val="00E26253"/>
    <w:rsid w:val="00F4095F"/>
    <w:rsid w:val="00F64AC1"/>
    <w:rsid w:val="00FE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7F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0D7F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B0D7F"/>
  </w:style>
  <w:style w:type="character" w:styleId="Numerstrony">
    <w:name w:val="page number"/>
    <w:semiHidden/>
    <w:rsid w:val="007B0D7F"/>
    <w:rPr>
      <w:sz w:val="14"/>
      <w:szCs w:val="14"/>
    </w:rPr>
  </w:style>
  <w:style w:type="paragraph" w:styleId="Tekstpodstawowy">
    <w:name w:val="Body Text"/>
    <w:basedOn w:val="Normalny"/>
    <w:semiHidden/>
    <w:rsid w:val="007B0D7F"/>
    <w:pPr>
      <w:spacing w:after="120"/>
    </w:pPr>
  </w:style>
  <w:style w:type="paragraph" w:customStyle="1" w:styleId="Podpis1">
    <w:name w:val="Podpis1"/>
    <w:basedOn w:val="Normalny"/>
    <w:rsid w:val="007B0D7F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7B0D7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7B0D7F"/>
  </w:style>
  <w:style w:type="paragraph" w:styleId="Stopka">
    <w:name w:val="footer"/>
    <w:basedOn w:val="Normalny"/>
    <w:semiHidden/>
    <w:rsid w:val="007B0D7F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7B0D7F"/>
    <w:pPr>
      <w:suppressLineNumbers/>
    </w:pPr>
  </w:style>
  <w:style w:type="paragraph" w:customStyle="1" w:styleId="Nagwektabeli">
    <w:name w:val="Nagłówek tabeli"/>
    <w:basedOn w:val="Zawartotabeli"/>
    <w:rsid w:val="007B0D7F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7B0D7F"/>
  </w:style>
  <w:style w:type="paragraph" w:customStyle="1" w:styleId="Indeks">
    <w:name w:val="Indeks"/>
    <w:basedOn w:val="Normalny"/>
    <w:rsid w:val="007B0D7F"/>
    <w:pPr>
      <w:suppressLineNumbers/>
    </w:pPr>
  </w:style>
  <w:style w:type="character" w:styleId="Odwoaniedokomentarza">
    <w:name w:val="annotation reference"/>
    <w:semiHidden/>
    <w:rsid w:val="007B0D7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B0D7F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B0D7F"/>
    <w:rPr>
      <w:b/>
      <w:bCs/>
    </w:rPr>
  </w:style>
  <w:style w:type="paragraph" w:customStyle="1" w:styleId="Tekstdymka1">
    <w:name w:val="Tekst dymka1"/>
    <w:basedOn w:val="Normalny"/>
    <w:rsid w:val="007B0D7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B0D7F"/>
    <w:rPr>
      <w:sz w:val="20"/>
      <w:szCs w:val="20"/>
    </w:rPr>
  </w:style>
  <w:style w:type="character" w:styleId="Odwoanieprzypisudolnego">
    <w:name w:val="footnote reference"/>
    <w:semiHidden/>
    <w:rsid w:val="007B0D7F"/>
    <w:rPr>
      <w:vertAlign w:val="superscript"/>
    </w:rPr>
  </w:style>
  <w:style w:type="character" w:customStyle="1" w:styleId="StopkaZnak">
    <w:name w:val="Stopka Znak"/>
    <w:rsid w:val="007B0D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table" w:styleId="Tabela-Siatka">
    <w:name w:val="Table Grid"/>
    <w:basedOn w:val="Standardowy"/>
    <w:uiPriority w:val="59"/>
    <w:rsid w:val="004C01BA"/>
    <w:pPr>
      <w:spacing w:afterAutospacing="1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378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2024-11-02T13:45:00Z</dcterms:created>
  <dcterms:modified xsi:type="dcterms:W3CDTF">2024-11-03T16:09:00Z</dcterms:modified>
</cp:coreProperties>
</file>