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 w:rsidP="00827D3B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E9481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ludnościowe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2F61E7" w:rsidRDefault="00E9481B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61E7">
              <w:rPr>
                <w:rFonts w:ascii="Arial" w:hAnsi="Arial" w:cs="Arial"/>
                <w:i/>
                <w:iCs/>
                <w:sz w:val="20"/>
                <w:szCs w:val="20"/>
              </w:rPr>
              <w:t>Population studies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E9481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2F61E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  <w:p w:rsidR="00225016" w:rsidRDefault="0022501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  <w:p w:rsidR="00B610A6" w:rsidRDefault="00B610A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EC6DE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187C31">
            <w:pPr>
              <w:rPr>
                <w:rFonts w:ascii="Arial" w:hAnsi="Arial" w:cs="Arial"/>
                <w:sz w:val="22"/>
                <w:szCs w:val="16"/>
              </w:rPr>
            </w:pPr>
            <w:r w:rsidRPr="00187C31">
              <w:rPr>
                <w:rFonts w:ascii="Arial" w:hAnsi="Arial" w:cs="Arial"/>
                <w:sz w:val="22"/>
                <w:szCs w:val="16"/>
              </w:rPr>
              <w:t>Kurs stanowi wprowadzenie do demografii społecznej, do zagadnień znajdujących się na styku zainteresowań socjologii i demografii (z naciskiem na socjologiczną interpretację zdarzeń i procesów demograficznych). W trakcie zajęć omówione zostaną następujące kwestie: podstawy teoretyczne oraz metodologiczne demografii; struktury demograficzne (struktura ludności według cech biologicznych); rodzina i gospodarstwo domowe jako podmiot zachowań demograficznych (tworzenie, rozpad oraz rekonstrukcja rodzin); reprodukcja ludności i warunkujące ją procesy ruchu naturalnego; stan zdrowia, zachorowalność i śmiertelność; uwarunkowania i konsekwencje migracji wewnętrznych i międzynarodowych; prognozy populacyjne oraz relacje między środowiskiem naturalnym a wzrostem demograficznym. Nacisk położony zostanie na kwestie takie jak: starzenie się społeczeństw europejskich, procesy przemian rodzin i gospodarstw domowych oraz migracji międzynarodowych, uwarunkowania i konsekwencje pandemii COVID-19. W centrum analizy procesów demograficznych znajdzie się Polska, jednak ukazane zostaną także tendencje i zróżnicowania globalne.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Pr="002F61E7" w:rsidRDefault="002F61E7">
            <w:pPr>
              <w:autoSpaceDE/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2F61E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2F61E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>Zna i rozumie główne problemy społeczne współczesnego społeczeństwa  polskiego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K_W06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C4FDC" w:rsidRPr="00DC4FDC" w:rsidRDefault="00303F50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 xml:space="preserve">Potrafi właściwie analizować przyczyny i przebieg złożonych procesów i zjawisk społecznych, wykorzystując właściwe, wyselekcjonowane przez siebie źródła informacji oraz posługując się zdobytą wiedzą teoretyczną  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Pr="00DC4FDC" w:rsidRDefault="00DC4FDC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U02, </w:t>
            </w:r>
            <w:r w:rsidRPr="00DC4FDC">
              <w:rPr>
                <w:rFonts w:ascii="Arial" w:hAnsi="Arial" w:cs="Arial"/>
                <w:sz w:val="20"/>
                <w:szCs w:val="20"/>
              </w:rPr>
              <w:t xml:space="preserve">Posiada umiejętność artykułowania i uzasadniania własnych poglądów przy użyciu specjalistycznej terminologii z zakresu socjologii 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C4FDC" w:rsidRPr="00DC4FDC" w:rsidRDefault="00303F50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 xml:space="preserve">Rozumie znaczenie dyskusji jako podstawowego narzędzia poszukiwań intelektualnych; jest człowiekiem doceniającym znaczenie niezależności myślenia oraz krytycznego dystansu wobec opinii własnych i cudzych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Pr="00DC4FDC" w:rsidRDefault="00DC4FDC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K02, </w:t>
            </w:r>
            <w:r w:rsidRPr="00DC4FDC">
              <w:rPr>
                <w:rFonts w:ascii="Arial" w:hAnsi="Arial" w:cs="Arial"/>
                <w:sz w:val="20"/>
                <w:szCs w:val="20"/>
              </w:rPr>
              <w:t xml:space="preserve">Potrafi uczestniczyć w przygotowaniu projektów społecznych, uwzględniając ich różne aspekty (np. ekonomiczne, polityczne) 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DB5DE4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DC4FD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DC4FD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DB5DE4" w:rsidRDefault="00DB5DE4" w:rsidP="00DB5DE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B5DE4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DB5DE4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B5DE4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E4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E4" w:rsidTr="00B11421">
        <w:trPr>
          <w:trHeight w:val="462"/>
        </w:trPr>
        <w:tc>
          <w:tcPr>
            <w:tcW w:w="1611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DE4" w:rsidRDefault="00DB5DE4" w:rsidP="00DB5DE4">
      <w:pPr>
        <w:pStyle w:val="Zawartotabeli"/>
        <w:rPr>
          <w:rFonts w:ascii="Arial" w:hAnsi="Arial" w:cs="Arial"/>
          <w:sz w:val="22"/>
          <w:szCs w:val="16"/>
        </w:rPr>
      </w:pPr>
    </w:p>
    <w:p w:rsidR="00DB5DE4" w:rsidRDefault="00DB5DE4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2C6BD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 trakcie wykładów omawiane są zagadnienia składające się na zakres przedmiotowy kursu, z wykorzystaniem prezentacji, krótkich materiałów wideo itp. Studenci mają także możliwość uczestniczenia w dyskusji dotyczącej tych zagadnień. W trakcie ćwiczeń studenci wykonują zadania polegające na opracowaniu danych demograficznych, studiów przypadku itp. Realizują projekt polegający na przygotowaniu i zaprezentowaniu piramidy ludnościowej dla wybranej miejscowości/gminy w Polsce oraz opracowują referat w oparciu o zadaną literaturę.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187C31" w:rsidRPr="00187C31" w:rsidRDefault="00187C31" w:rsidP="00187C3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Na ocenę końcową składają się następujące elementy: </w:t>
            </w:r>
          </w:p>
          <w:p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aktywny udział w zajęciach, w tym przygotowanie zadań na poszczególne zajęcia (możliwe kolokwium na początku zajęć):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30% oceny końcowej;</w:t>
            </w:r>
          </w:p>
          <w:p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wykonanie i zaprezentowanie na zajęciach projektu: „Piramida wieku”, wraz z opisem –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40% oceny końcowej</w:t>
            </w:r>
            <w:r w:rsidRPr="00187C31">
              <w:rPr>
                <w:rFonts w:ascii="Arial" w:hAnsi="Arial" w:cs="Arial"/>
                <w:sz w:val="20"/>
                <w:szCs w:val="14"/>
              </w:rPr>
              <w:t>;</w:t>
            </w:r>
          </w:p>
          <w:p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przygotowanie referatu na podany temat: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30% oceny końcowej</w:t>
            </w:r>
          </w:p>
          <w:p w:rsidR="00187C31" w:rsidRPr="00187C31" w:rsidRDefault="00187C31" w:rsidP="00187C31">
            <w:pPr>
              <w:pStyle w:val="Zawartotabeli"/>
              <w:spacing w:before="57" w:after="57"/>
              <w:rPr>
                <w:rFonts w:ascii="Arial" w:hAnsi="Arial" w:cs="Arial"/>
                <w:b/>
                <w:sz w:val="20"/>
                <w:szCs w:val="14"/>
              </w:rPr>
            </w:pPr>
            <w:r w:rsidRPr="00187C31">
              <w:rPr>
                <w:rFonts w:ascii="Arial" w:hAnsi="Arial" w:cs="Arial"/>
                <w:b/>
                <w:sz w:val="20"/>
                <w:szCs w:val="14"/>
              </w:rPr>
              <w:t>Egzamin</w:t>
            </w:r>
          </w:p>
          <w:p w:rsidR="00303F50" w:rsidRDefault="00187C3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Egzamin z zagadnień poruszanych na wykładach i rozwijanych na ćwiczeniach będzie miał formę pisemną – test z przewagą pytań otwartych. Ocena bardzo dobra z konwersatorium wpływa na podniesienie oceny z egzaminu o pół stopnia (pod </w:t>
            </w:r>
            <w:r w:rsidRPr="00187C31">
              <w:rPr>
                <w:rFonts w:ascii="Arial" w:hAnsi="Arial" w:cs="Arial"/>
                <w:sz w:val="20"/>
                <w:szCs w:val="14"/>
              </w:rPr>
              <w:lastRenderedPageBreak/>
              <w:t>warunkiem uzyskania z egzaminu oceny co najmniej dobrej).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Ludność świata – podstawowe dane demograficzne (rozmieszczenie, struktura, tendencje w zakresie rozwoju charakterystyki demograficznej ludności świata).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Źródła danych o ludności (ze szczególnym naciskiem na spisy ludności – wyjątkowość na tle innych badań społecznych, sposoby realizacji, zakres danych gromadzonych w spisach itp.; istota metody pełnej i reprezentacyjnej).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poprzeczna i wzdłużna, konstrukcja miar demograficznych.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rozrodczości – podstawowe pojęcia i miary; tendencje w zakresie rozrodczości w Polsce po II wojnie światowej i na świecie; uwarunkowania rozrodczości.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Koncepcja T. Malthusa. Maltuzjanizm i neomaltuzjanizm.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Przejście demograficzne (pierwsze i drugie) – istota i uwarunkowania.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umieralności – podstawowe pojęcia i miary; charakterystyka wzorów umieralności (m.in. według przyczyn) w Polsce, tendencje międzynarodowe; uwarunkowania umieralności. Przejście epidemiologiczne.</w:t>
            </w:r>
            <w:r>
              <w:rPr>
                <w:rFonts w:ascii="Arial" w:hAnsi="Arial" w:cs="Arial"/>
                <w:sz w:val="20"/>
                <w:szCs w:val="20"/>
              </w:rPr>
              <w:t xml:space="preserve"> Uwarunkowania i konsekwencje pandemii COVID-19.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 xml:space="preserve">Małżeństwo i rodzina – znaczenie dla analizy demograficznej. Podstawowe tendencje dotyczące procesu zawierania i rozpadu małżeństw współcześnie. 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Migracje międzynarodowe – uwarunkowania i konsekwencje.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Migracje w Polsce po roku 1989 – kierunki, rozmiary, uwarunkowania i konsekwencje.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Struktura ludności według wieku i płci – podstawowe miary; piramida ludności jako narzędzie analizy struktury według wieku i płci; uwarunkowania i skutki.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Istota współczesnych zmian klimatu i ich wpływ na społeczeństwa.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Rozwój liczby ludności w kontekście dostępnych zasobów. Głód i niedożywienie na świecie.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2C6BD3">
        <w:trPr>
          <w:trHeight w:val="1098"/>
        </w:trPr>
        <w:tc>
          <w:tcPr>
            <w:tcW w:w="9622" w:type="dxa"/>
          </w:tcPr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</w:rPr>
              <w:t>Materiały źródłowe: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Rocznik Demograficzny 20</w:t>
            </w:r>
            <w:r w:rsidR="002F61E7">
              <w:rPr>
                <w:rFonts w:ascii="Arial" w:hAnsi="Arial" w:cs="Arial"/>
                <w:sz w:val="20"/>
                <w:szCs w:val="14"/>
              </w:rPr>
              <w:t>22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, GUS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Rocznik Statystyczny  20</w:t>
            </w:r>
            <w:r w:rsidR="002F61E7">
              <w:rPr>
                <w:rFonts w:ascii="Arial" w:hAnsi="Arial" w:cs="Arial"/>
                <w:sz w:val="20"/>
                <w:szCs w:val="14"/>
              </w:rPr>
              <w:t>22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, GUS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Strona internetowa Głównego Urzędu Statystycznego (stat.gov.pl), Eurostatu, ONZ i OECD, Ośrodka Badań nad Migracjami (</w:t>
            </w:r>
            <w:hyperlink r:id="rId11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</w:rPr>
                <w:t>www.migracje.uw.edu.pl</w:t>
              </w:r>
            </w:hyperlink>
            <w:r w:rsidRPr="002C6BD3">
              <w:rPr>
                <w:rFonts w:ascii="Arial" w:hAnsi="Arial" w:cs="Arial"/>
                <w:sz w:val="20"/>
                <w:szCs w:val="14"/>
              </w:rPr>
              <w:t>)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  <w:lang w:val="en-US"/>
              </w:rPr>
            </w:pPr>
            <w:r w:rsidRPr="002C6BD3">
              <w:rPr>
                <w:rFonts w:ascii="Arial" w:hAnsi="Arial" w:cs="Arial"/>
                <w:i/>
                <w:iCs/>
                <w:sz w:val="20"/>
                <w:szCs w:val="14"/>
                <w:lang w:val="en-US"/>
              </w:rPr>
              <w:t xml:space="preserve">World Population Prospects: </w:t>
            </w:r>
            <w:hyperlink r:id="rId12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  <w:lang w:val="en-US"/>
                </w:rPr>
                <w:t>https://population.un.org/wpp/</w:t>
              </w:r>
            </w:hyperlink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  <w:lang w:val="en-US"/>
              </w:rPr>
            </w:pP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https://www.gapminder.org/</w:t>
            </w:r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  <w:u w:val="single"/>
              </w:rPr>
              <w:t>Podręcznik:</w:t>
            </w:r>
          </w:p>
          <w:p w:rsid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 w:rsidRPr="001A38EC">
              <w:rPr>
                <w:rFonts w:ascii="Arial" w:hAnsi="Arial" w:cs="Arial"/>
                <w:bCs/>
                <w:sz w:val="20"/>
                <w:szCs w:val="14"/>
              </w:rPr>
              <w:t xml:space="preserve">Okólski Marek, Fihel Agnieszka. 2012. </w:t>
            </w:r>
            <w:r w:rsidRPr="001A38EC">
              <w:rPr>
                <w:rFonts w:ascii="Arial" w:hAnsi="Arial" w:cs="Arial"/>
                <w:bCs/>
                <w:i/>
                <w:sz w:val="20"/>
                <w:szCs w:val="14"/>
              </w:rPr>
              <w:t xml:space="preserve">Demografia. Współczesne zjawiska i teorie. </w:t>
            </w:r>
            <w:r w:rsidRPr="001A38EC">
              <w:rPr>
                <w:rFonts w:ascii="Arial" w:hAnsi="Arial" w:cs="Arial"/>
                <w:bCs/>
                <w:sz w:val="20"/>
                <w:szCs w:val="14"/>
              </w:rPr>
              <w:t>Warszawa: Scholar.</w:t>
            </w:r>
          </w:p>
          <w:p w:rsidR="001A38EC" w:rsidRPr="001A38EC" w:rsidRDefault="001A38EC" w:rsidP="002C6BD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>
              <w:rPr>
                <w:rFonts w:ascii="Arial" w:hAnsi="Arial" w:cs="Arial"/>
                <w:bCs/>
                <w:sz w:val="20"/>
                <w:szCs w:val="14"/>
              </w:rPr>
              <w:t xml:space="preserve">Stokowski, Franciszek. 2019. </w:t>
            </w:r>
            <w:r>
              <w:rPr>
                <w:rFonts w:ascii="Arial" w:hAnsi="Arial" w:cs="Arial"/>
                <w:bCs/>
                <w:i/>
                <w:iCs/>
                <w:sz w:val="20"/>
                <w:szCs w:val="14"/>
              </w:rPr>
              <w:t xml:space="preserve">Demografia. </w:t>
            </w:r>
            <w:r>
              <w:rPr>
                <w:rFonts w:ascii="Arial" w:hAnsi="Arial" w:cs="Arial"/>
                <w:bCs/>
                <w:sz w:val="20"/>
                <w:szCs w:val="14"/>
              </w:rPr>
              <w:t>Warszawa: PWE (wydanie II zmienione)</w:t>
            </w:r>
          </w:p>
          <w:p w:rsidR="002C6BD3" w:rsidRPr="002C6BD3" w:rsidRDefault="002C6BD3" w:rsidP="002C6BD3">
            <w:pPr>
              <w:ind w:left="720"/>
              <w:rPr>
                <w:rFonts w:ascii="Arial" w:hAnsi="Arial" w:cs="Arial"/>
                <w:b/>
                <w:sz w:val="20"/>
                <w:szCs w:val="14"/>
              </w:rPr>
            </w:pPr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  <w:u w:val="single"/>
              </w:rPr>
              <w:t>Literatura do referatów:</w:t>
            </w:r>
          </w:p>
          <w:p w:rsidR="00303F50" w:rsidRPr="00F13C53" w:rsidRDefault="002C6BD3" w:rsidP="00F13C5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 w:rsidRPr="001A38EC">
              <w:rPr>
                <w:rFonts w:ascii="Arial" w:hAnsi="Arial" w:cs="Arial"/>
                <w:bCs/>
                <w:sz w:val="20"/>
                <w:szCs w:val="14"/>
              </w:rPr>
              <w:t xml:space="preserve">Rosling, Hans. 2018. </w:t>
            </w:r>
            <w:r w:rsidRPr="001A38EC">
              <w:rPr>
                <w:rFonts w:ascii="Arial" w:hAnsi="Arial" w:cs="Arial"/>
                <w:bCs/>
                <w:i/>
                <w:sz w:val="20"/>
                <w:szCs w:val="14"/>
              </w:rPr>
              <w:t xml:space="preserve">Factfulness. Dlaczego świat jest lepszy, niż myślimy, czyli jak stereotypy zastąpić realną wiedzą. </w:t>
            </w:r>
            <w:r w:rsidRPr="001A38EC">
              <w:rPr>
                <w:rFonts w:ascii="Arial" w:hAnsi="Arial" w:cs="Arial"/>
                <w:bCs/>
                <w:sz w:val="20"/>
                <w:szCs w:val="14"/>
              </w:rPr>
              <w:t>Warszawa: Media Rodzina.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2C6BD3" w:rsidTr="00F13C53">
        <w:trPr>
          <w:trHeight w:val="3548"/>
        </w:trPr>
        <w:tc>
          <w:tcPr>
            <w:tcW w:w="9640" w:type="dxa"/>
          </w:tcPr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lastRenderedPageBreak/>
              <w:t xml:space="preserve">Fihel, Agnieszka. 2015. Wpływ czasowych migracji zagranicznych na perspektywy demograficzne Polski.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Wiadomości Statystyczne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7 (650), s. 74-89.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Fihel, Agnieszka; Kiełkowska, Marta; Radziwinowiczówna, Agnieszka. 2017. Determinanty spadku płodności w Polsce – próba syntezy.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Studia Demograficzne,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2(172)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  <w:lang w:val="en-US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Górny, Agata; Kołodziejczyk, Katarzyna; Madej, Karolina; Kaczmarczyk, Paweł. 2019. Nowe obszary docelowe w migracji z Ukrainy do Polski. Przypadek Bydgoszczy i Wrocławia na tle innych miast. </w:t>
            </w:r>
            <w:r w:rsidRPr="002C6BD3">
              <w:rPr>
                <w:rFonts w:ascii="Arial" w:hAnsi="Arial" w:cs="Arial"/>
                <w:sz w:val="20"/>
                <w:szCs w:val="14"/>
                <w:lang w:val="en-US"/>
              </w:rPr>
              <w:t xml:space="preserve">CMR Working Papers 118(176), [online:] </w:t>
            </w:r>
            <w:hyperlink r:id="rId13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  <w:lang w:val="en-US"/>
                </w:rPr>
                <w:t>http://www.migracje.uw.edu.pl/publikacje/nowe-obszary-docelowe-w-migracji-z-ukrainy-do-polski-przypadek-bydgoszczy-i-wroclawia-na-tle-innych-miast</w:t>
              </w:r>
            </w:hyperlink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GUS 2018. Cudzoziemcy na krajowym rynku pracy w ujęciu regionalnym. Warszawa: Główny Urząd Statystyczny. [online:] </w:t>
            </w:r>
            <w:hyperlink r:id="rId14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</w:rPr>
                <w:t>https://stat.gov.pl/files/gfx/portalinformacyjny/pl/defaultstronaopisowa/6149/1/1/cudzoziemcy_na_krajowym_rynku_pracy_w_ujeciu_regionalnym-raport.pdf</w:t>
              </w:r>
            </w:hyperlink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Holzer J.Z.: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Demografia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2003</w:t>
            </w:r>
          </w:p>
          <w:p w:rsid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Krywult-Albańska, Małgorzata. 2012. Spis powszechny jako źródło informacji o ludności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.Studia Socjologiczne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4, s. 87-107.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Krywult-Albańska, Małgorzata. 2014. Wzrost demograficzny a perspektywy wyżywienia ludności świata : zarys problemu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. Studia Sociologica</w:t>
            </w:r>
            <w:r w:rsidRPr="002C6BD3">
              <w:rPr>
                <w:rFonts w:ascii="Arial" w:hAnsi="Arial" w:cs="Arial"/>
                <w:sz w:val="20"/>
                <w:szCs w:val="14"/>
              </w:rPr>
              <w:t>, z. 6, vol. 2, s. 156-171.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Matysiak, Anna (red.). 2014.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Nowe wzorce formowania i rozwoju rodziny w Polsce. Przyczyny oraz wpływ na zadowolenie z życia. </w:t>
            </w:r>
            <w:r w:rsidRPr="002C6BD3">
              <w:rPr>
                <w:rFonts w:ascii="Arial" w:hAnsi="Arial" w:cs="Arial"/>
                <w:sz w:val="20"/>
                <w:szCs w:val="14"/>
              </w:rPr>
              <w:t>Warszawa: Scholar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Okólski, Marek. 2010. Wyzwania demograficzne Europy i Polski.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Studia Socjologiczne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4(199), s. 37-78.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Oręziak, Leokadia. 2012.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OFE w Polsce – produkt ekspansji globalnych instytucji finansowych. 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„Polityka Społeczna”, nr 11-12. </w:t>
            </w:r>
          </w:p>
          <w:p w:rsidR="002F61E7" w:rsidRPr="002F61E7" w:rsidRDefault="002F61E7" w:rsidP="002F61E7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2006. Zagrożenie czy wyzwanie - proces starzenia się ludności.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W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: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Polityka Społeczna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, 9, s. 6-9. 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2014. Charakterystyka związków kohabitacyjnych we współczesnej Polsce.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Wiadomości Statystyczne,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8 (639), s. 62-74.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2015. Przestrzenne zróżnicowanie dzietności w Polsce.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Wiadomości Statystyczne,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4 (647), s. 13-27.</w:t>
            </w:r>
          </w:p>
          <w:p w:rsid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Ślusarczyk Magdalena, Slany Krystyna. 2016. Demograficzne i socjologiczne implikacje wyjazdów z Polski. Dyskusja na bazie wyników Narodowego Spisu Powszechnego z 2011 roku.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Studia Migracyjne – Przegląd Polonijny, </w:t>
            </w:r>
            <w:r w:rsidRPr="002C6BD3">
              <w:rPr>
                <w:rFonts w:ascii="Arial" w:hAnsi="Arial" w:cs="Arial"/>
                <w:sz w:val="20"/>
                <w:szCs w:val="14"/>
              </w:rPr>
              <w:t>1(159), s. 127-150.</w:t>
            </w:r>
          </w:p>
          <w:p w:rsidR="00F16B10" w:rsidRPr="002C6BD3" w:rsidRDefault="00F16B10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F16B10">
              <w:rPr>
                <w:rFonts w:ascii="Arial" w:hAnsi="Arial" w:cs="Arial"/>
                <w:sz w:val="20"/>
                <w:szCs w:val="14"/>
              </w:rPr>
              <w:t>Tymicki, Krzysztof. 2021. Wykorzystanie teorii klas społecznych do analizy zachowań i postaw związanych z prokreacją i rolami płci. „Studia Demograficzne”, 2(180), s. 33-65. DOI: 10.33119/SD.2021.2.2</w:t>
            </w:r>
          </w:p>
          <w:p w:rsidR="00303F50" w:rsidRPr="002C6BD3" w:rsidRDefault="00303F50">
            <w:pPr>
              <w:rPr>
                <w:rFonts w:ascii="Arial" w:hAnsi="Arial" w:cs="Arial"/>
                <w:sz w:val="20"/>
                <w:szCs w:val="14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4E3B26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C4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C4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4E3B2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4E3B26" w:rsidRDefault="004E3B26" w:rsidP="004E3B2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F5A50">
        <w:rPr>
          <w:rFonts w:ascii="Arial" w:hAnsi="Arial" w:cs="Arial"/>
          <w:sz w:val="22"/>
        </w:rPr>
        <w:t xml:space="preserve"> – studia niestacjonarne </w:t>
      </w:r>
    </w:p>
    <w:p w:rsidR="004E3B26" w:rsidRDefault="004E3B26" w:rsidP="004E3B2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4E3B26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E3B26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E3B26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E3B26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4E3B26" w:rsidRDefault="00CF5A5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4E3B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E3B26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F5A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4E3B26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4E3B26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E3B26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150</w:t>
            </w:r>
          </w:p>
        </w:tc>
      </w:tr>
      <w:tr w:rsidR="004E3B26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4E3B26" w:rsidRDefault="00CF5A5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4E3B26" w:rsidRDefault="004E3B26" w:rsidP="004E3B26">
      <w:pPr>
        <w:pStyle w:val="Tekstdymka1"/>
        <w:rPr>
          <w:rFonts w:ascii="Arial" w:hAnsi="Arial" w:cs="Arial"/>
          <w:sz w:val="22"/>
        </w:rPr>
      </w:pPr>
    </w:p>
    <w:p w:rsidR="004E3B26" w:rsidRDefault="004E3B26">
      <w:pPr>
        <w:pStyle w:val="Tekstdymka1"/>
        <w:rPr>
          <w:rFonts w:ascii="Arial" w:hAnsi="Arial" w:cs="Arial"/>
          <w:sz w:val="22"/>
        </w:rPr>
      </w:pPr>
    </w:p>
    <w:sectPr w:rsidR="004E3B26" w:rsidSect="002302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4CE" w:rsidRDefault="000654CE">
      <w:r>
        <w:separator/>
      </w:r>
    </w:p>
  </w:endnote>
  <w:endnote w:type="continuationSeparator" w:id="1">
    <w:p w:rsidR="000654CE" w:rsidRDefault="00065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17A5E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225016">
      <w:rPr>
        <w:noProof/>
      </w:rPr>
      <w:t>1</w:t>
    </w:r>
    <w:r>
      <w:fldChar w:fldCharType="end"/>
    </w:r>
  </w:p>
  <w:p w:rsidR="00303F50" w:rsidRDefault="00303F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4CE" w:rsidRDefault="000654CE">
      <w:r>
        <w:separator/>
      </w:r>
    </w:p>
  </w:footnote>
  <w:footnote w:type="continuationSeparator" w:id="1">
    <w:p w:rsidR="000654CE" w:rsidRDefault="00065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36C84332"/>
    <w:multiLevelType w:val="hybridMultilevel"/>
    <w:tmpl w:val="B240B6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F473EC"/>
    <w:multiLevelType w:val="hybridMultilevel"/>
    <w:tmpl w:val="E8C42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B0C3C"/>
    <w:multiLevelType w:val="hybridMultilevel"/>
    <w:tmpl w:val="14320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B10235"/>
    <w:multiLevelType w:val="hybridMultilevel"/>
    <w:tmpl w:val="BBC4F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27707"/>
    <w:rsid w:val="000654CE"/>
    <w:rsid w:val="00100620"/>
    <w:rsid w:val="00187C31"/>
    <w:rsid w:val="001A38EC"/>
    <w:rsid w:val="00225016"/>
    <w:rsid w:val="00230244"/>
    <w:rsid w:val="0026408E"/>
    <w:rsid w:val="002C6BD3"/>
    <w:rsid w:val="002F61E7"/>
    <w:rsid w:val="00303F50"/>
    <w:rsid w:val="00434CDD"/>
    <w:rsid w:val="004B2BFB"/>
    <w:rsid w:val="004E3B26"/>
    <w:rsid w:val="00517A5E"/>
    <w:rsid w:val="0053144D"/>
    <w:rsid w:val="00533C41"/>
    <w:rsid w:val="006C79D1"/>
    <w:rsid w:val="00700CD5"/>
    <w:rsid w:val="00716872"/>
    <w:rsid w:val="00827D3B"/>
    <w:rsid w:val="00847145"/>
    <w:rsid w:val="008B703C"/>
    <w:rsid w:val="009026FF"/>
    <w:rsid w:val="00936915"/>
    <w:rsid w:val="00985573"/>
    <w:rsid w:val="00A32093"/>
    <w:rsid w:val="00A35A93"/>
    <w:rsid w:val="00A8544F"/>
    <w:rsid w:val="00AC51A5"/>
    <w:rsid w:val="00AE1260"/>
    <w:rsid w:val="00B07BFB"/>
    <w:rsid w:val="00B610A6"/>
    <w:rsid w:val="00C406F2"/>
    <w:rsid w:val="00C83CD2"/>
    <w:rsid w:val="00CF0D0C"/>
    <w:rsid w:val="00CF5A50"/>
    <w:rsid w:val="00D32FBE"/>
    <w:rsid w:val="00D75AC2"/>
    <w:rsid w:val="00D940DD"/>
    <w:rsid w:val="00DB3679"/>
    <w:rsid w:val="00DB5DE4"/>
    <w:rsid w:val="00DC4FDC"/>
    <w:rsid w:val="00DE2A4C"/>
    <w:rsid w:val="00E1778B"/>
    <w:rsid w:val="00E9481B"/>
    <w:rsid w:val="00EC6DE1"/>
    <w:rsid w:val="00F13C53"/>
    <w:rsid w:val="00F16B10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244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0244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30244"/>
  </w:style>
  <w:style w:type="character" w:styleId="Numerstrony">
    <w:name w:val="page number"/>
    <w:semiHidden/>
    <w:rsid w:val="00230244"/>
    <w:rPr>
      <w:sz w:val="14"/>
      <w:szCs w:val="14"/>
    </w:rPr>
  </w:style>
  <w:style w:type="paragraph" w:styleId="Tekstpodstawowy">
    <w:name w:val="Body Text"/>
    <w:basedOn w:val="Normalny"/>
    <w:semiHidden/>
    <w:rsid w:val="00230244"/>
    <w:pPr>
      <w:spacing w:after="120"/>
    </w:pPr>
  </w:style>
  <w:style w:type="paragraph" w:customStyle="1" w:styleId="Podpis1">
    <w:name w:val="Podpis1"/>
    <w:basedOn w:val="Normalny"/>
    <w:rsid w:val="0023024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23024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230244"/>
  </w:style>
  <w:style w:type="paragraph" w:styleId="Stopka">
    <w:name w:val="footer"/>
    <w:basedOn w:val="Normalny"/>
    <w:semiHidden/>
    <w:rsid w:val="0023024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30244"/>
    <w:pPr>
      <w:suppressLineNumbers/>
    </w:pPr>
  </w:style>
  <w:style w:type="paragraph" w:customStyle="1" w:styleId="Nagwektabeli">
    <w:name w:val="Nagłówek tabeli"/>
    <w:basedOn w:val="Zawartotabeli"/>
    <w:rsid w:val="0023024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30244"/>
  </w:style>
  <w:style w:type="paragraph" w:customStyle="1" w:styleId="Indeks">
    <w:name w:val="Indeks"/>
    <w:basedOn w:val="Normalny"/>
    <w:rsid w:val="00230244"/>
    <w:pPr>
      <w:suppressLineNumbers/>
    </w:pPr>
  </w:style>
  <w:style w:type="character" w:styleId="Odwoaniedokomentarza">
    <w:name w:val="annotation reference"/>
    <w:semiHidden/>
    <w:rsid w:val="0023024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30244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230244"/>
    <w:rPr>
      <w:b/>
      <w:bCs/>
    </w:rPr>
  </w:style>
  <w:style w:type="paragraph" w:customStyle="1" w:styleId="Tekstdymka1">
    <w:name w:val="Tekst dymka1"/>
    <w:basedOn w:val="Normalny"/>
    <w:rsid w:val="0023024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230244"/>
    <w:rPr>
      <w:sz w:val="20"/>
      <w:szCs w:val="20"/>
    </w:rPr>
  </w:style>
  <w:style w:type="character" w:styleId="Odwoanieprzypisudolnego">
    <w:name w:val="footnote reference"/>
    <w:semiHidden/>
    <w:rsid w:val="00230244"/>
    <w:rPr>
      <w:vertAlign w:val="superscript"/>
    </w:rPr>
  </w:style>
  <w:style w:type="character" w:customStyle="1" w:styleId="StopkaZnak">
    <w:name w:val="Stopka Znak"/>
    <w:rsid w:val="0023024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styleId="Hipercze">
    <w:name w:val="Hyperlink"/>
    <w:uiPriority w:val="99"/>
    <w:unhideWhenUsed/>
    <w:rsid w:val="002C6BD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C6B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gracje.uw.edu.pl/publikacje/nowe-obszary-docelowe-w-migracji-z-ukrainy-do-polski-przypadek-bydgoszczy-i-wroclawia-na-tle-innych-mias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pulation.un.org/wpp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gracje.uw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t.gov.pl/files/gfx/portalinformacyjny/pl/defaultstronaopisowa/6149/1/1/cudzoziemcy_na_krajowym_rynku_pracy_w_ujeciu_regionalnym-rapor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of xmlns="a10cf8f0-1673-4c2d-8cd6-3acfda1b5ffa" xsi:nil="true"/>
    <Opis xmlns="a10cf8f0-1673-4c2d-8cd6-3acfda1b5ffa">zal_nr_4_karta_kursu_2019</Opi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34B4D469B3848A39DB7F2DC26A76B" ma:contentTypeVersion="15" ma:contentTypeDescription="Utwórz nowy dokument." ma:contentTypeScope="" ma:versionID="7708a1a1dca71225af2f6babc77a38e3">
  <xsd:schema xmlns:xsd="http://www.w3.org/2001/XMLSchema" xmlns:xs="http://www.w3.org/2001/XMLSchema" xmlns:p="http://schemas.microsoft.com/office/2006/metadata/properties" xmlns:ns2="a10cf8f0-1673-4c2d-8cd6-3acfda1b5ffa" targetNamespace="http://schemas.microsoft.com/office/2006/metadata/properties" ma:root="true" ma:fieldsID="03d2861a1ec2179ab1584c8caab1c09f" ns2:_="">
    <xsd:import namespace="a10cf8f0-1673-4c2d-8cd6-3acfda1b5ffa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f8f0-1673-4c2d-8cd6-3acfda1b5ffa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  <xsd:element name="mbof" ma:index="5" nillable="true" ma:displayName="Liczba" ma:internalName="mbo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D88CF-BD2F-4559-834F-21DBE2B57F7D}">
  <ds:schemaRefs>
    <ds:schemaRef ds:uri="http://schemas.microsoft.com/office/2006/metadata/properties"/>
    <ds:schemaRef ds:uri="http://schemas.microsoft.com/office/infopath/2007/PartnerControls"/>
    <ds:schemaRef ds:uri="a10cf8f0-1673-4c2d-8cd6-3acfda1b5ffa"/>
  </ds:schemaRefs>
</ds:datastoreItem>
</file>

<file path=customXml/itemProps2.xml><?xml version="1.0" encoding="utf-8"?>
<ds:datastoreItem xmlns:ds="http://schemas.openxmlformats.org/officeDocument/2006/customXml" ds:itemID="{2DC93F53-9933-48FB-8D7B-20008F7B0C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5ADFE0-640C-48E0-8E15-84AA1C832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D1B1F6-9E61-4A98-9376-FC6C793F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f8f0-1673-4c2d-8cd6-3acfda1b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zal_nr_4_karta_kursu_2019</vt:lpstr>
    </vt:vector>
  </TitlesOfParts>
  <Company>Akademia Pedagogiczna</Company>
  <LinksUpToDate>false</LinksUpToDate>
  <CharactersWithSpaces>11023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>https://stat.gov.pl/files/gfx/portalinformacyjny/pl/defaultstronaopisowa/6149/1/1/cudzoziemcy_na_krajowym_rynku_pracy_w_ujeciu_regionalnym-raport.pdf</vt:lpwstr>
      </vt:variant>
      <vt:variant>
        <vt:lpwstr/>
      </vt:variant>
      <vt:variant>
        <vt:i4>6946870</vt:i4>
      </vt:variant>
      <vt:variant>
        <vt:i4>6</vt:i4>
      </vt:variant>
      <vt:variant>
        <vt:i4>0</vt:i4>
      </vt:variant>
      <vt:variant>
        <vt:i4>5</vt:i4>
      </vt:variant>
      <vt:variant>
        <vt:lpwstr>http://www.migracje.uw.edu.pl/publikacje/nowe-obszary-docelowe-w-migracji-z-ukrainy-do-polski-przypadek-bydgoszczy-i-wroclawia-na-tle-innych-miast</vt:lpwstr>
      </vt:variant>
      <vt:variant>
        <vt:lpwstr/>
      </vt:variant>
      <vt:variant>
        <vt:i4>3407992</vt:i4>
      </vt:variant>
      <vt:variant>
        <vt:i4>3</vt:i4>
      </vt:variant>
      <vt:variant>
        <vt:i4>0</vt:i4>
      </vt:variant>
      <vt:variant>
        <vt:i4>5</vt:i4>
      </vt:variant>
      <vt:variant>
        <vt:lpwstr>https://population.un.org/wpp/</vt:lpwstr>
      </vt:variant>
      <vt:variant>
        <vt:lpwstr/>
      </vt:variant>
      <vt:variant>
        <vt:i4>3932208</vt:i4>
      </vt:variant>
      <vt:variant>
        <vt:i4>0</vt:i4>
      </vt:variant>
      <vt:variant>
        <vt:i4>0</vt:i4>
      </vt:variant>
      <vt:variant>
        <vt:i4>5</vt:i4>
      </vt:variant>
      <vt:variant>
        <vt:lpwstr>http://www.migracje.uw.edu.pl/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zal_nr_4_karta_kursu_2019</dc:title>
  <dc:creator>Barbara Wilk</dc:creator>
  <cp:lastModifiedBy>grzegorz kubinski</cp:lastModifiedBy>
  <cp:revision>3</cp:revision>
  <cp:lastPrinted>2012-01-27T07:28:00Z</cp:lastPrinted>
  <dcterms:created xsi:type="dcterms:W3CDTF">2024-11-02T14:42:00Z</dcterms:created>
  <dcterms:modified xsi:type="dcterms:W3CDTF">2024-11-03T16:28:00Z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Monika Defort-Szczepańska</vt:lpwstr>
  </property>
  <property fmtid="{D5CDD505-2E9C-101B-9397-08002B2CF9AE}" pid="3" name="display_urn:schemas-microsoft-com:office:office#Author">
    <vt:lpwstr>Monika Defort-Szczepańska</vt:lpwstr>
  </property>
</Properties>
</file>