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 badań społecznych  1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512FFA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 of social research  1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A6D0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D0A">
              <w:rPr>
                <w:rFonts w:ascii="Arial" w:hAnsi="Arial" w:cs="Arial"/>
                <w:sz w:val="20"/>
                <w:szCs w:val="20"/>
              </w:rPr>
              <w:t>Dr hab. prof. UKEN Radosław Marzęcki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BA6D0A" w:rsidRDefault="00BA6D0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D0A">
              <w:rPr>
                <w:rFonts w:ascii="Arial" w:hAnsi="Arial" w:cs="Arial"/>
                <w:sz w:val="20"/>
                <w:szCs w:val="20"/>
              </w:rPr>
              <w:t>Dr hab. prof. UKEN Radosław Marzęcki</w:t>
            </w:r>
          </w:p>
          <w:p w:rsidR="0052534F" w:rsidRDefault="0052534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52534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915AD2">
        <w:trPr>
          <w:trHeight w:val="1365"/>
        </w:trPr>
        <w:tc>
          <w:tcPr>
            <w:tcW w:w="9640" w:type="dxa"/>
          </w:tcPr>
          <w:p w:rsidR="00303F50" w:rsidRPr="00915AD2" w:rsidRDefault="0052534F" w:rsidP="00915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Celem kursu jest przygotowanie do samodzielnego prowadzenia empirycznych badań socjologicznych w zakresie obejmującym podstawy ogólnometodologiczne oraz następujące etapy procesu badawczego: konceptualizacja, operacjonalizacja, tworzenie pytań badawczych i hipotez, indeksów i skal, tworzenie narzędzi badawczych w ramach określonych metod i technik badawczych, dobór próby badawczej.</w:t>
            </w:r>
          </w:p>
        </w:tc>
      </w:tr>
    </w:tbl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2534F" w:rsidRPr="00915AD2" w:rsidTr="0009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2534F" w:rsidRDefault="0052534F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Ogólna wiedza socjologiczna w zakresie przewidzianym kursem „Wstęp do socjologii”</w:t>
            </w:r>
          </w:p>
        </w:tc>
      </w:tr>
      <w:tr w:rsidR="0052534F" w:rsidRPr="00915AD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52534F" w:rsidRPr="00915AD2" w:rsidRDefault="0052534F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>
        <w:tc>
          <w:tcPr>
            <w:tcW w:w="1941" w:type="dxa"/>
            <w:shd w:val="clear" w:color="auto" w:fill="DBE5F1"/>
            <w:vAlign w:val="center"/>
          </w:tcPr>
          <w:p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2534F" w:rsidRDefault="0052534F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„Wstęp do socjologii”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Posiada ogólną wiedzę na temat rozwoju metodologii badań społecznych, paradygmatów i orientacji metodologicznych przed i po przełomie antypozytywistycznym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(obiektywizm, naturalizm/antynaturalizm, wolność od wartościowania, rozumienie, badania idiograficzne i nomotetyczne)</w:t>
            </w:r>
          </w:p>
          <w:p w:rsidR="00A7732A" w:rsidRDefault="00A7732A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W_02 Zna podstawowe pojęcia metodologii socjologicznej (konceptualizacja, operacjonalizacja, jednostka analizy, zmienna, wskaźnik, 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korelacja, pytanie badawcze, hipoteza, </w:t>
            </w:r>
            <w:r>
              <w:rPr>
                <w:rFonts w:ascii="Arial" w:hAnsi="Arial" w:cs="Arial"/>
                <w:sz w:val="20"/>
                <w:szCs w:val="20"/>
              </w:rPr>
              <w:t>poziom pomiaru,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dobór próby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00AEB" w:rsidRDefault="00700AEB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W_03 Zna podstawowe metody i techniki badań socjologicznych (obserwacja, eksperyment, badania ankietowe, wywiady kwestionariuszowe, wywiady swobodne, pogłębione, badania fokusowe) oraz związaną z nimi terminologię </w:t>
            </w:r>
          </w:p>
          <w:p w:rsidR="00700AEB" w:rsidRDefault="00700AEB" w:rsidP="00373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A77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K_W04</w:t>
            </w: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541982">
        <w:trPr>
          <w:cantSplit/>
          <w:trHeight w:val="1509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00AEB" w:rsidRDefault="00700AEB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</w:t>
            </w:r>
            <w:r w:rsidR="00A6320D">
              <w:rPr>
                <w:rFonts w:ascii="Arial" w:hAnsi="Arial" w:cs="Arial"/>
                <w:sz w:val="20"/>
                <w:szCs w:val="20"/>
              </w:rPr>
              <w:t>Potrafi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A6320D">
              <w:rPr>
                <w:rFonts w:ascii="Arial" w:hAnsi="Arial" w:cs="Arial"/>
                <w:sz w:val="20"/>
                <w:szCs w:val="20"/>
              </w:rPr>
              <w:t>perować językiem zmiennych, tworzyć i dobierać wskaźniki, rozwiązywać podstawowe dylematy związane z konceptualizacją, operacjonalizacją, doborem właściwych metod i technik badawczych oraz metod doboru próby.</w:t>
            </w:r>
          </w:p>
          <w:p w:rsidR="00A6320D" w:rsidRDefault="00A6320D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Potrafi konstruować kwestionariusze i scenariusze wywiadów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A3C0C" w:rsidRDefault="00EA3C0C" w:rsidP="00A63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Jest przygotowany do roli członka zespołu badawczego, do roli badacza oraz do kontaktu z respondentem</w:t>
            </w:r>
          </w:p>
          <w:p w:rsidR="00303F50" w:rsidRDefault="00EA3C0C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W środowisku badawczym postępuje zgodnie z normami etycznymi i procedurami metodologicznymi </w:t>
            </w:r>
          </w:p>
        </w:tc>
        <w:tc>
          <w:tcPr>
            <w:tcW w:w="2410" w:type="dxa"/>
          </w:tcPr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4120C9" w:rsidRDefault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EA3C0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2D11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9916B1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916B1" w:rsidRDefault="00456AFD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891B7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62"/>
        </w:trPr>
        <w:tc>
          <w:tcPr>
            <w:tcW w:w="1611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916B1">
        <w:trPr>
          <w:trHeight w:val="1183"/>
        </w:trPr>
        <w:tc>
          <w:tcPr>
            <w:tcW w:w="9622" w:type="dxa"/>
          </w:tcPr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 w celu ukazania sposobów operacjonalizacji, konstruowania kafeterii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odpowiedzi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indeksów i ska</w:t>
            </w:r>
            <w:r w:rsidR="00425FAA">
              <w:rPr>
                <w:rFonts w:ascii="Arial" w:hAnsi="Arial" w:cs="Arial"/>
                <w:sz w:val="20"/>
                <w:szCs w:val="20"/>
              </w:rPr>
              <w:t>l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oraz rekodowania zmiennych. Studenci uzyskają również inne pomoce (wskazane teksty do samodzielnej lektury lub dodatkowe pliki multimedialne)</w:t>
            </w:r>
          </w:p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2D110F" w:rsidP="007B0473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</w:t>
            </w:r>
            <w:r w:rsidR="00204EA4">
              <w:rPr>
                <w:rFonts w:ascii="Arial" w:hAnsi="Arial" w:cs="Arial"/>
                <w:sz w:val="20"/>
                <w:szCs w:val="20"/>
              </w:rPr>
              <w:t>znajomość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 xml:space="preserve">wskazywanej przez osobę prowadzącą te zajęcia. Znajomość lektur będzie sprawdzana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na bieżąco podczas zajęć, a także – w przypadku wybranych zajęć - </w:t>
            </w:r>
            <w:r>
              <w:rPr>
                <w:rFonts w:ascii="Arial" w:hAnsi="Arial" w:cs="Arial"/>
                <w:sz w:val="20"/>
                <w:szCs w:val="20"/>
              </w:rPr>
              <w:t xml:space="preserve">za pomocą </w:t>
            </w:r>
            <w:r w:rsidR="007B0473">
              <w:rPr>
                <w:rFonts w:ascii="Arial" w:hAnsi="Arial" w:cs="Arial"/>
                <w:sz w:val="20"/>
                <w:szCs w:val="20"/>
              </w:rPr>
              <w:t>testów, zadań i pisemnych prac domowych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 xml:space="preserve"> -</w:t>
      </w:r>
      <w:r w:rsidR="009916B1">
        <w:rPr>
          <w:rFonts w:ascii="Arial" w:hAnsi="Arial" w:cs="Arial"/>
          <w:sz w:val="22"/>
          <w:szCs w:val="14"/>
        </w:rPr>
        <w:t xml:space="preserve">- </w:t>
      </w:r>
      <w:r w:rsidR="009916B1" w:rsidRPr="004120C9">
        <w:rPr>
          <w:rFonts w:ascii="Arial" w:hAnsi="Arial" w:cs="Arial"/>
          <w:color w:val="000000"/>
          <w:sz w:val="22"/>
          <w:szCs w:val="16"/>
        </w:rPr>
        <w:t>studia stacjonarne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– kolokwium pisemne</w:t>
            </w:r>
          </w:p>
        </w:tc>
      </w:tr>
      <w:tr w:rsidR="00BE44A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 xml:space="preserve"> -</w:t>
      </w:r>
      <w:r>
        <w:rPr>
          <w:rFonts w:ascii="Arial" w:hAnsi="Arial" w:cs="Arial"/>
          <w:sz w:val="22"/>
          <w:szCs w:val="14"/>
        </w:rPr>
        <w:t xml:space="preserve">- </w:t>
      </w: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  <w:r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9916B1" w:rsidTr="00BE44AB">
        <w:trPr>
          <w:cantSplit/>
          <w:trHeight w:val="191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– kolokwium pisemne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E44AB" w:rsidRDefault="00E3421A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E3421A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wykonanie </w:t>
            </w:r>
            <w:r w:rsidR="001C672E">
              <w:rPr>
                <w:rFonts w:ascii="Arial" w:hAnsi="Arial" w:cs="Arial"/>
                <w:sz w:val="20"/>
                <w:szCs w:val="20"/>
              </w:rPr>
              <w:t>zadań</w:t>
            </w:r>
            <w:r>
              <w:rPr>
                <w:rFonts w:ascii="Arial" w:hAnsi="Arial" w:cs="Arial"/>
                <w:sz w:val="20"/>
                <w:szCs w:val="20"/>
              </w:rPr>
              <w:t>/projektów grupowych</w:t>
            </w:r>
            <w:r w:rsidR="00891B71">
              <w:rPr>
                <w:rFonts w:ascii="Arial" w:hAnsi="Arial" w:cs="Arial"/>
                <w:sz w:val="20"/>
                <w:szCs w:val="20"/>
              </w:rPr>
              <w:t>lub</w:t>
            </w:r>
            <w:r w:rsidR="001C672E">
              <w:rPr>
                <w:rFonts w:ascii="Arial" w:hAnsi="Arial" w:cs="Arial"/>
                <w:sz w:val="20"/>
                <w:szCs w:val="20"/>
              </w:rPr>
              <w:t xml:space="preserve"> testów indywidualnych </w:t>
            </w: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1C672E">
              <w:rPr>
                <w:rFonts w:ascii="Arial" w:hAnsi="Arial" w:cs="Arial"/>
                <w:sz w:val="20"/>
                <w:szCs w:val="20"/>
              </w:rPr>
              <w:t>oceny z kolokwium zaliczeniowego.</w:t>
            </w:r>
            <w:r w:rsidR="00EA154C">
              <w:rPr>
                <w:rFonts w:ascii="Arial" w:hAnsi="Arial" w:cs="Arial"/>
                <w:sz w:val="20"/>
                <w:szCs w:val="20"/>
              </w:rPr>
              <w:t xml:space="preserve"> Opuszczenie więcej niż 50% wykładów lub 50% ćwiczeń oznacza definitywne skreślenie z listy studentów.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9916B1" w:rsidTr="00095609">
        <w:tc>
          <w:tcPr>
            <w:tcW w:w="194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916B1" w:rsidRDefault="001C672E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wykonanie zadań/projektów grupowych </w:t>
            </w:r>
            <w:r w:rsidR="00891B71">
              <w:rPr>
                <w:rFonts w:ascii="Arial" w:hAnsi="Arial" w:cs="Arial"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testów indywidualnych 3) oceny z kolokwium zaliczenioweg</w:t>
            </w:r>
            <w:r w:rsidR="007C4AE9">
              <w:rPr>
                <w:rFonts w:ascii="Arial" w:hAnsi="Arial" w:cs="Arial"/>
                <w:sz w:val="20"/>
                <w:szCs w:val="20"/>
              </w:rPr>
              <w:t>o</w:t>
            </w:r>
            <w:r w:rsidR="00EA154C">
              <w:rPr>
                <w:rFonts w:ascii="Arial" w:hAnsi="Arial" w:cs="Arial"/>
                <w:sz w:val="20"/>
                <w:szCs w:val="20"/>
              </w:rPr>
              <w:t>. Opuszczenie więcej niż 50% wykładów lub 50% ćwiczeń oznacza definitywne skreślenie z listy studentów.</w:t>
            </w:r>
          </w:p>
        </w:tc>
      </w:tr>
    </w:tbl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1C672E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Egzamin z materiału objętego kursami „Metody badań społecznych 1”  i „Metody badań społecznych 2” przewidziany jest na II roku studiów (po zakończeniu drugiego kursu w </w:t>
            </w:r>
            <w:r w:rsidR="00891B71"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semestrze).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512FFA" w:rsidRPr="00B02DDC" w:rsidRDefault="00A3644C" w:rsidP="00B02DD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Wykłady</w:t>
            </w:r>
          </w:p>
          <w:p w:rsidR="00B02DDC" w:rsidRPr="00B02DDC" w:rsidRDefault="00B02DDC" w:rsidP="00B02DDC">
            <w:pPr>
              <w:jc w:val="both"/>
              <w:rPr>
                <w:rFonts w:eastAsia="Calibri"/>
                <w:b/>
                <w:bCs/>
              </w:rPr>
            </w:pPr>
          </w:p>
          <w:p w:rsidR="0065239E" w:rsidRDefault="0065239E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t>Metodologia badań społecznych – wprowadzenie. Naukowe i zdroworozsądkowe wyjaśnianie rzeczywistości (2g)</w:t>
            </w:r>
          </w:p>
          <w:p w:rsidR="00A3644C" w:rsidRPr="00AB06BB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Osobliwości nauk społecznych</w:t>
            </w:r>
            <w:r w:rsidR="0065239E">
              <w:rPr>
                <w:rFonts w:ascii="Arial" w:hAnsi="Arial" w:cs="Arial"/>
                <w:sz w:val="22"/>
                <w:szCs w:val="22"/>
              </w:rPr>
              <w:t>. Socjologia</w:t>
            </w:r>
            <w:r>
              <w:rPr>
                <w:rFonts w:ascii="Arial" w:hAnsi="Arial" w:cs="Arial"/>
                <w:sz w:val="22"/>
                <w:szCs w:val="22"/>
              </w:rPr>
              <w:t xml:space="preserve"> przed i po przełomie antypozytywistycznym </w:t>
            </w:r>
          </w:p>
          <w:p w:rsidR="00A3644C" w:rsidRPr="00BF4991" w:rsidRDefault="00A3644C" w:rsidP="00AB06BB">
            <w:pPr>
              <w:numPr>
                <w:ilvl w:val="0"/>
                <w:numId w:val="7"/>
              </w:numPr>
              <w:tabs>
                <w:tab w:val="left" w:pos="-854"/>
                <w:tab w:val="left" w:pos="-720"/>
                <w:tab w:val="left" w:pos="0"/>
                <w:tab w:val="left" w:pos="265"/>
                <w:tab w:val="left" w:pos="548"/>
                <w:tab w:val="left" w:pos="831"/>
                <w:tab w:val="left" w:pos="11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64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Konceptualizacja i operacjonalizacja. Pojęcie zmiennej i rodzaje wskaźników </w:t>
            </w:r>
          </w:p>
          <w:p w:rsidR="0065239E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Rodzaje pojęć i ich znaczenie w naukach społecznych. </w:t>
            </w:r>
          </w:p>
          <w:p w:rsidR="0065239E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Rodzaje definicji. </w:t>
            </w:r>
          </w:p>
          <w:p w:rsidR="00512FFA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Indywidualizm i holizm metodologiczny </w:t>
            </w:r>
          </w:p>
          <w:p w:rsidR="0065239E" w:rsidRDefault="0065239E" w:rsidP="0065239E">
            <w:pPr>
              <w:numPr>
                <w:ilvl w:val="0"/>
                <w:numId w:val="7"/>
              </w:numPr>
              <w:tabs>
                <w:tab w:val="left" w:pos="-854"/>
                <w:tab w:val="left" w:pos="-720"/>
                <w:tab w:val="left" w:pos="0"/>
                <w:tab w:val="left" w:pos="265"/>
                <w:tab w:val="left" w:pos="548"/>
                <w:tab w:val="left" w:pos="831"/>
                <w:tab w:val="left" w:pos="11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64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Klasyfikacje i typologie </w:t>
            </w:r>
          </w:p>
          <w:p w:rsidR="0065239E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Etapy procesu badawczego. </w:t>
            </w:r>
          </w:p>
          <w:p w:rsid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Typy badań empirycznych</w:t>
            </w:r>
            <w:r w:rsidR="0065239E">
              <w:rPr>
                <w:rFonts w:ascii="Arial" w:hAnsi="Arial" w:cs="Arial"/>
                <w:sz w:val="22"/>
                <w:szCs w:val="22"/>
              </w:rPr>
              <w:t>. Badania statyczne a badania dynamiczne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Rodzaje twierdzeń, pytań badawczych i hipotez 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Uzasadnianie twierdzeń 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Etyka badań </w:t>
            </w:r>
          </w:p>
          <w:p w:rsidR="00B71510" w:rsidRDefault="00B71510" w:rsidP="00B71510">
            <w:pPr>
              <w:widowControl/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D6FB6" w:rsidRPr="00B02DDC" w:rsidRDefault="00ED6FB6" w:rsidP="00ED6FB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Ćwiczenia</w:t>
            </w:r>
          </w:p>
          <w:p w:rsidR="00ED6FB6" w:rsidRPr="00ED6FB6" w:rsidRDefault="00ED6FB6" w:rsidP="00ED6FB6">
            <w:pPr>
              <w:pStyle w:val="Tekstpodstawowywcity"/>
              <w:rPr>
                <w:rFonts w:ascii="Calibri" w:hAnsi="Calibri"/>
                <w:szCs w:val="22"/>
              </w:rPr>
            </w:pP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Wyjaśnianie idiograficzne i nomotetyczne; podejście indukcyjne i dedukcyjne, dane ilościowe i jakościowe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Przyczynowość w badaniach socjologicznych, błędy w rozumowaniu i wnioskowaniu, jednostki analizy i obserwacji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Konceptualizacja i operacjonalizacja w praktyce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lastRenderedPageBreak/>
              <w:t xml:space="preserve">Cechy zmiennej i poziomy pomiaru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Indeksy, skale i typologie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Metody doboru próby badawczej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>Obserwacja, eksperyment i badania mysteryshopper</w:t>
            </w:r>
          </w:p>
          <w:p w:rsidR="00ED6FB6" w:rsidRPr="009F00A0" w:rsidRDefault="00ED6FB6" w:rsidP="007A79C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F00A0">
              <w:rPr>
                <w:rFonts w:ascii="Arial" w:hAnsi="Arial" w:cs="Arial"/>
                <w:sz w:val="22"/>
                <w:szCs w:val="22"/>
              </w:rPr>
              <w:t xml:space="preserve">Wywiad kwestionariuszowy </w:t>
            </w:r>
            <w:r w:rsidR="009F00A0">
              <w:rPr>
                <w:rFonts w:ascii="Arial" w:hAnsi="Arial" w:cs="Arial"/>
                <w:sz w:val="22"/>
                <w:szCs w:val="22"/>
              </w:rPr>
              <w:t xml:space="preserve">i kwantyfikacja danych ilościowych 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Badania fokusowe </w:t>
            </w:r>
          </w:p>
          <w:p w:rsidR="00ED6FB6" w:rsidRDefault="00ED6FB6" w:rsidP="009F00A0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Wywiad </w:t>
            </w:r>
            <w:r w:rsidR="009F00A0">
              <w:rPr>
                <w:rFonts w:ascii="Arial" w:hAnsi="Arial" w:cs="Arial"/>
                <w:sz w:val="22"/>
                <w:szCs w:val="22"/>
              </w:rPr>
              <w:t xml:space="preserve">jakościowy oraz analiza </w:t>
            </w:r>
            <w:r w:rsidRPr="00B02DDC">
              <w:rPr>
                <w:rFonts w:ascii="Arial" w:hAnsi="Arial" w:cs="Arial"/>
                <w:sz w:val="22"/>
                <w:szCs w:val="22"/>
              </w:rPr>
              <w:t xml:space="preserve">materiałów jakościowych </w:t>
            </w:r>
          </w:p>
          <w:p w:rsidR="00AB06BB" w:rsidRPr="00AB06BB" w:rsidRDefault="00AB06BB" w:rsidP="009F00A0">
            <w:pPr>
              <w:widowControl/>
              <w:suppressAutoHyphens w:val="0"/>
              <w:autoSpaceDE/>
              <w:spacing w:after="120"/>
              <w:ind w:left="100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Babbie E., 2003. Badania społeczne w praktyce, Warszawa; w: Rozdz. 1 - podrozdział „Trochę dialektyki badań społecznych” s. 45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; r</w:t>
            </w:r>
            <w:r w:rsidRPr="00CA4372">
              <w:rPr>
                <w:rFonts w:ascii="Arial" w:hAnsi="Arial" w:cs="Arial"/>
                <w:sz w:val="22"/>
                <w:szCs w:val="22"/>
              </w:rPr>
              <w:t>ozdz. 3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 xml:space="preserve">; rozdz. 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(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s. 113 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–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 121</w:t>
            </w:r>
            <w:r w:rsidR="0065239E">
              <w:rPr>
                <w:rFonts w:ascii="Arial" w:hAnsi="Arial" w:cs="Arial"/>
                <w:sz w:val="22"/>
                <w:szCs w:val="22"/>
              </w:rPr>
              <w:t>)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; rozdz. 5; rozdz. 6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1486D">
              <w:rPr>
                <w:rFonts w:ascii="Arial" w:hAnsi="Arial" w:cs="Arial"/>
                <w:sz w:val="22"/>
                <w:szCs w:val="22"/>
              </w:rPr>
              <w:t xml:space="preserve">rozdz. 7 (dobór celowy); </w:t>
            </w:r>
            <w:r w:rsidR="00CA4372">
              <w:rPr>
                <w:rFonts w:ascii="Arial" w:hAnsi="Arial" w:cs="Arial"/>
                <w:sz w:val="22"/>
                <w:szCs w:val="22"/>
              </w:rPr>
              <w:t>rozdz. 14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 S., 2004. Interviews. Wprowadzenie do jakościowego wywiadu badawczego, Białystok, s.92-112, s.121-122, 130-148, s.151-163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Kvale, S. 2011. Prowadzenie wywiadów, Warszawa, r 8 i 9</w:t>
            </w:r>
          </w:p>
          <w:p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Maison D., 2001. Zogniskowane wywiady grupowe. Jakościowa metoda badań marketingowych, Warszawa, s. 12-133 (87-106; 127-130)</w:t>
            </w:r>
          </w:p>
          <w:p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Mayntz R., Holm K., Huebner P.,1985. </w:t>
            </w:r>
            <w:r w:rsidRPr="00CA4372">
              <w:rPr>
                <w:rFonts w:ascii="Arial" w:hAnsi="Arial" w:cs="Arial"/>
                <w:sz w:val="22"/>
                <w:szCs w:val="22"/>
              </w:rPr>
              <w:t>Wprowadzenie do metod socjologii empirycznej, Warszawa, r. 3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 xml:space="preserve"> i 4</w:t>
            </w:r>
          </w:p>
          <w:p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Rzemieniak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 M.</w:t>
            </w:r>
            <w:r w:rsidRPr="00CA4372">
              <w:rPr>
                <w:rFonts w:ascii="Arial" w:hAnsi="Arial" w:cs="Arial"/>
                <w:sz w:val="22"/>
                <w:szCs w:val="22"/>
              </w:rPr>
              <w:t>, Tokarz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 E.</w:t>
            </w:r>
            <w:r w:rsidRPr="00CA4372">
              <w:rPr>
                <w:rFonts w:ascii="Arial" w:hAnsi="Arial" w:cs="Arial"/>
                <w:sz w:val="22"/>
                <w:szCs w:val="22"/>
              </w:rPr>
              <w:t>, Mystery Shopping w budowaniu tożsamości organizacyjnej, Lublin 2011, s. 23-39</w:t>
            </w:r>
          </w:p>
          <w:p w:rsidR="002C2463" w:rsidRDefault="002C2463" w:rsidP="00373AEB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B71510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Babiński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1980, Wybrane zagadnienia z metodologii socjologicznych badań empirycznych, Kraków. 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Christians C. G., Etyka i polityka w badaniach jakościowych, (w:) (red.) N. K. Denzin, Y. S. Lincoln, Metody badań jakościowych t.1, Warszawa 2009,</w:t>
            </w:r>
          </w:p>
          <w:p w:rsidR="00B71510" w:rsidRPr="00CA4372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Durkheim E., Co to jest fakt społeczny, [w] Sztompka, P. i J. Kuć (red.) </w:t>
            </w: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Socjologia. Lektury, Wyd. Znak, Kraków; s. 266-71 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Frankfort-Nachmias Ch., Nachmias D., 2001, Metody badawcze w naukach społecznych, Poznań. </w:t>
            </w:r>
          </w:p>
          <w:p w:rsidR="00B71510" w:rsidRPr="00CA4372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Glaser B. G., Strauss A. L., Odkrywanie teorii ugruntowanej, Kraków 2009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Gorzko M., Co znaczy, że pojęcia wyłaniają się z danych? (w:) red. J. Leoński, A. Kołodziej – Durnaś, W kręgu socjologii interpretatywnej – zastosowanie metod jakościowych, Szczecin 2005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Hammerslay M., Atkinson P., Metody badan terenowych, Poznań 2000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lastRenderedPageBreak/>
              <w:t>House R., Ewaluacja jakościowa i zmiana polityki społecznej, (w:) (red.) N. K. Denzin, Y. S. Lincoln, Metody badań jakościowych t.2, Warszawa 2009,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:rsidR="0065239E" w:rsidRPr="00CA4372" w:rsidRDefault="0065239E" w:rsidP="0065239E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Lutyński J., 1968. Ankieta i jej rodzaje na tle podziału technik otrzymywania materiału w: Analizy i próby technik badawczych, (red.) Gostkowski Z., Lutyński J., t.II, Warszawa-Wrocław 1968 (od podrozdziału 7. Pojęcie ankiety)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Mayntz R., Holm K., Hübner P., 1985, Wprowadzenie do metod socjologii empirycznej, Warszawa, 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Nowak S., 1985, Metodologia badań społecznych, PWN, Warszawa,</w:t>
            </w:r>
          </w:p>
          <w:p w:rsidR="00B71510" w:rsidRPr="00425FAA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Ossowski S., 2001, O osobliwościach nauk społecznych, Warszawa. </w:t>
            </w:r>
            <w:r w:rsidRPr="00425FAA">
              <w:rPr>
                <w:rFonts w:ascii="Arial" w:hAnsi="Arial" w:cs="Arial"/>
                <w:sz w:val="22"/>
                <w:szCs w:val="22"/>
              </w:rPr>
              <w:t>Rozdział „Wzory nauk przyrodniczych w empirycznej socjologii”.</w:t>
            </w:r>
          </w:p>
          <w:p w:rsidR="00B71510" w:rsidRPr="00425FAA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Podgórecki R. A., Metodologia badań socjologicznych. </w:t>
            </w:r>
            <w:r w:rsidRPr="00425FAA">
              <w:rPr>
                <w:rFonts w:ascii="Arial" w:hAnsi="Arial" w:cs="Arial"/>
                <w:sz w:val="22"/>
                <w:szCs w:val="22"/>
              </w:rPr>
              <w:t>Kompendium wiedzy metodologicznej dla studentów, Olsztyn 2007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Silverman D., Interpretacja danych jakościowych, Warszawa 2007, Rozdział 9 Sens i etyka badań jakościowych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Szacki J., Historia myśli socjologicznej, R12 i 13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Sztumski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J.</w:t>
            </w:r>
            <w:r w:rsidRPr="00B71510">
              <w:rPr>
                <w:rFonts w:ascii="Arial" w:hAnsi="Arial" w:cs="Arial"/>
                <w:sz w:val="22"/>
                <w:szCs w:val="22"/>
              </w:rPr>
              <w:t>, Wstęp do metod i technik badań społecznych, 2019 David D. Silverman, Prowadzenie badań jakościowych, Wydawnictwo Naukowe PWN, Warszawa 2008</w:t>
            </w:r>
          </w:p>
          <w:p w:rsidR="00915AD2" w:rsidRDefault="00915AD2" w:rsidP="00B71510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4120C9">
        <w:rPr>
          <w:rFonts w:ascii="Arial" w:hAnsi="Arial" w:cs="Arial"/>
          <w:color w:val="000000"/>
          <w:sz w:val="22"/>
        </w:rPr>
        <w:t>studia stacjonarne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186F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3020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186F8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4120C9">
        <w:rPr>
          <w:rFonts w:ascii="Arial" w:hAnsi="Arial" w:cs="Arial"/>
          <w:color w:val="000000"/>
          <w:sz w:val="22"/>
        </w:rPr>
        <w:t>studia niestacjonarne</w:t>
      </w:r>
      <w:r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916B1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916B1" w:rsidRDefault="00886B1C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9916B1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9916B1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9916B1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916B1" w:rsidRDefault="00D30206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9916B1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916B1" w:rsidRDefault="00D30206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 w:rsidSect="00E113CE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1B" w:rsidRDefault="006D441B">
      <w:r>
        <w:separator/>
      </w:r>
    </w:p>
  </w:endnote>
  <w:endnote w:type="continuationSeparator" w:id="1">
    <w:p w:rsidR="006D441B" w:rsidRDefault="006D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74C7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BA6D0A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1B" w:rsidRDefault="006D441B">
      <w:r>
        <w:separator/>
      </w:r>
    </w:p>
  </w:footnote>
  <w:footnote w:type="continuationSeparator" w:id="1">
    <w:p w:rsidR="006D441B" w:rsidRDefault="006D4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00CB8"/>
    <w:rsid w:val="00027707"/>
    <w:rsid w:val="00041D91"/>
    <w:rsid w:val="0009222A"/>
    <w:rsid w:val="00095609"/>
    <w:rsid w:val="001430C8"/>
    <w:rsid w:val="001563A0"/>
    <w:rsid w:val="00186F80"/>
    <w:rsid w:val="001C672E"/>
    <w:rsid w:val="001F4DFC"/>
    <w:rsid w:val="00204EA4"/>
    <w:rsid w:val="00250E48"/>
    <w:rsid w:val="002B0FE6"/>
    <w:rsid w:val="002C2463"/>
    <w:rsid w:val="002D110F"/>
    <w:rsid w:val="00303F50"/>
    <w:rsid w:val="003074C7"/>
    <w:rsid w:val="00360715"/>
    <w:rsid w:val="003674CC"/>
    <w:rsid w:val="00373AEB"/>
    <w:rsid w:val="00387D94"/>
    <w:rsid w:val="0039256E"/>
    <w:rsid w:val="003C6B50"/>
    <w:rsid w:val="003E58C2"/>
    <w:rsid w:val="004120C9"/>
    <w:rsid w:val="00425FAA"/>
    <w:rsid w:val="00434CDD"/>
    <w:rsid w:val="00456AFD"/>
    <w:rsid w:val="00512FFA"/>
    <w:rsid w:val="0052534F"/>
    <w:rsid w:val="00541982"/>
    <w:rsid w:val="0055390B"/>
    <w:rsid w:val="00560E3D"/>
    <w:rsid w:val="005C068F"/>
    <w:rsid w:val="005C49BC"/>
    <w:rsid w:val="005C7F61"/>
    <w:rsid w:val="005D0268"/>
    <w:rsid w:val="0065239E"/>
    <w:rsid w:val="00666412"/>
    <w:rsid w:val="006B043F"/>
    <w:rsid w:val="006D441B"/>
    <w:rsid w:val="006E3C9D"/>
    <w:rsid w:val="00700AEB"/>
    <w:rsid w:val="00700CD5"/>
    <w:rsid w:val="00705C3A"/>
    <w:rsid w:val="00716872"/>
    <w:rsid w:val="007A79C2"/>
    <w:rsid w:val="007B0473"/>
    <w:rsid w:val="007C4AE9"/>
    <w:rsid w:val="00810F0A"/>
    <w:rsid w:val="00815E5C"/>
    <w:rsid w:val="00827D3B"/>
    <w:rsid w:val="00847145"/>
    <w:rsid w:val="00886B1C"/>
    <w:rsid w:val="00891B71"/>
    <w:rsid w:val="008B0D3B"/>
    <w:rsid w:val="008B703C"/>
    <w:rsid w:val="009026FF"/>
    <w:rsid w:val="00915AD2"/>
    <w:rsid w:val="009250D8"/>
    <w:rsid w:val="009277D9"/>
    <w:rsid w:val="009916B1"/>
    <w:rsid w:val="009A5F61"/>
    <w:rsid w:val="009E3DDD"/>
    <w:rsid w:val="009F00A0"/>
    <w:rsid w:val="00A0412E"/>
    <w:rsid w:val="00A04952"/>
    <w:rsid w:val="00A3644C"/>
    <w:rsid w:val="00A6320D"/>
    <w:rsid w:val="00A7732A"/>
    <w:rsid w:val="00A8016C"/>
    <w:rsid w:val="00A8544F"/>
    <w:rsid w:val="00AB06BB"/>
    <w:rsid w:val="00AB3AA5"/>
    <w:rsid w:val="00AE50CE"/>
    <w:rsid w:val="00B02DDC"/>
    <w:rsid w:val="00B1486D"/>
    <w:rsid w:val="00B4198C"/>
    <w:rsid w:val="00B71510"/>
    <w:rsid w:val="00BA6D0A"/>
    <w:rsid w:val="00BA71F8"/>
    <w:rsid w:val="00BE44AB"/>
    <w:rsid w:val="00C64505"/>
    <w:rsid w:val="00C91A6B"/>
    <w:rsid w:val="00CA4372"/>
    <w:rsid w:val="00CA6EAE"/>
    <w:rsid w:val="00CC4881"/>
    <w:rsid w:val="00CD1C18"/>
    <w:rsid w:val="00CE5391"/>
    <w:rsid w:val="00D30206"/>
    <w:rsid w:val="00D32FBE"/>
    <w:rsid w:val="00D851B5"/>
    <w:rsid w:val="00DB3679"/>
    <w:rsid w:val="00E113CE"/>
    <w:rsid w:val="00E3421A"/>
    <w:rsid w:val="00E47AC7"/>
    <w:rsid w:val="00EA154C"/>
    <w:rsid w:val="00EA3C0C"/>
    <w:rsid w:val="00EC1E9C"/>
    <w:rsid w:val="00ED6FB6"/>
    <w:rsid w:val="00F002F0"/>
    <w:rsid w:val="00F05EF4"/>
    <w:rsid w:val="00F56D94"/>
    <w:rsid w:val="00F60A80"/>
    <w:rsid w:val="00FF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3C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13C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113CE"/>
  </w:style>
  <w:style w:type="character" w:styleId="Numerstrony">
    <w:name w:val="page number"/>
    <w:semiHidden/>
    <w:rsid w:val="00E113CE"/>
    <w:rPr>
      <w:sz w:val="14"/>
      <w:szCs w:val="14"/>
    </w:rPr>
  </w:style>
  <w:style w:type="paragraph" w:styleId="Tekstpodstawowy">
    <w:name w:val="Body Text"/>
    <w:basedOn w:val="Normalny"/>
    <w:semiHidden/>
    <w:rsid w:val="00E113CE"/>
    <w:pPr>
      <w:spacing w:after="120"/>
    </w:pPr>
  </w:style>
  <w:style w:type="paragraph" w:customStyle="1" w:styleId="Podpis1">
    <w:name w:val="Podpis1"/>
    <w:basedOn w:val="Normalny"/>
    <w:rsid w:val="00E113C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E113C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E113CE"/>
  </w:style>
  <w:style w:type="paragraph" w:styleId="Stopka">
    <w:name w:val="footer"/>
    <w:basedOn w:val="Normalny"/>
    <w:semiHidden/>
    <w:rsid w:val="00E113C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E113CE"/>
    <w:pPr>
      <w:suppressLineNumbers/>
    </w:pPr>
  </w:style>
  <w:style w:type="paragraph" w:customStyle="1" w:styleId="Nagwektabeli">
    <w:name w:val="Nagłówek tabeli"/>
    <w:basedOn w:val="Zawartotabeli"/>
    <w:rsid w:val="00E113C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113CE"/>
  </w:style>
  <w:style w:type="paragraph" w:customStyle="1" w:styleId="Indeks">
    <w:name w:val="Indeks"/>
    <w:basedOn w:val="Normalny"/>
    <w:rsid w:val="00E113CE"/>
    <w:pPr>
      <w:suppressLineNumbers/>
    </w:pPr>
  </w:style>
  <w:style w:type="character" w:styleId="Odwoaniedokomentarza">
    <w:name w:val="annotation reference"/>
    <w:semiHidden/>
    <w:rsid w:val="00E113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13C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E113CE"/>
    <w:rPr>
      <w:b/>
      <w:bCs/>
    </w:rPr>
  </w:style>
  <w:style w:type="paragraph" w:customStyle="1" w:styleId="Tekstdymka1">
    <w:name w:val="Tekst dymka1"/>
    <w:basedOn w:val="Normalny"/>
    <w:rsid w:val="00E113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113CE"/>
    <w:rPr>
      <w:sz w:val="20"/>
      <w:szCs w:val="20"/>
    </w:rPr>
  </w:style>
  <w:style w:type="character" w:styleId="Odwoanieprzypisudolnego">
    <w:name w:val="footnote reference"/>
    <w:semiHidden/>
    <w:rsid w:val="00E113CE"/>
    <w:rPr>
      <w:vertAlign w:val="superscript"/>
    </w:rPr>
  </w:style>
  <w:style w:type="character" w:customStyle="1" w:styleId="StopkaZnak">
    <w:name w:val="Stopka Znak"/>
    <w:rsid w:val="00E113C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2024-11-02T13:41:00Z</dcterms:created>
  <dcterms:modified xsi:type="dcterms:W3CDTF">2024-11-03T16:19:00Z</dcterms:modified>
</cp:coreProperties>
</file>