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Metody badań społecznych  </w:t>
            </w:r>
            <w:r w:rsidR="005E65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512FFA" w:rsidRDefault="0052534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Methods of social research  </w:t>
            </w:r>
            <w:r w:rsidR="005E65F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8D5DD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2534F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  <w:p w:rsidR="00342EDD" w:rsidRDefault="00342ED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Małgorzata Krywult-Albańska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CE17A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15AD2">
        <w:trPr>
          <w:trHeight w:val="1365"/>
        </w:trPr>
        <w:tc>
          <w:tcPr>
            <w:tcW w:w="9640" w:type="dxa"/>
          </w:tcPr>
          <w:p w:rsidR="00303F50" w:rsidRPr="00915AD2" w:rsidRDefault="005E65F3" w:rsidP="00915A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Kurs jest kontynuacją kursu Metody badań społecznych 1. </w:t>
            </w:r>
            <w:r w:rsidR="0052534F">
              <w:rPr>
                <w:rFonts w:ascii="Arial" w:hAnsi="Arial" w:cs="Arial"/>
                <w:sz w:val="20"/>
                <w:szCs w:val="20"/>
              </w:rPr>
              <w:t xml:space="preserve">Celem kursu jest przygotowanie do samodzielnego prowadzenia empirycznych badań socjologicznych w zakresie obejmującym podstawy ogólnometodologiczne oraz </w:t>
            </w:r>
            <w:r w:rsidR="007E10B5">
              <w:rPr>
                <w:rFonts w:ascii="Arial" w:hAnsi="Arial" w:cs="Arial"/>
                <w:sz w:val="20"/>
                <w:szCs w:val="20"/>
              </w:rPr>
              <w:t>wszystkie</w:t>
            </w:r>
            <w:r w:rsidR="0052534F">
              <w:rPr>
                <w:rFonts w:ascii="Arial" w:hAnsi="Arial" w:cs="Arial"/>
                <w:sz w:val="20"/>
                <w:szCs w:val="20"/>
              </w:rPr>
              <w:t xml:space="preserve"> etapy procesu badawczego</w:t>
            </w:r>
            <w:r w:rsidR="007E10B5">
              <w:rPr>
                <w:rFonts w:ascii="Arial" w:hAnsi="Arial" w:cs="Arial"/>
                <w:sz w:val="20"/>
                <w:szCs w:val="20"/>
              </w:rPr>
              <w:t xml:space="preserve">, włącznie z procesem </w:t>
            </w:r>
            <w:r w:rsidR="00E33714">
              <w:rPr>
                <w:rFonts w:ascii="Arial" w:hAnsi="Arial" w:cs="Arial"/>
                <w:sz w:val="20"/>
                <w:szCs w:val="20"/>
              </w:rPr>
              <w:t>prezentacji danych ilościowych i jakościowych</w:t>
            </w:r>
            <w:r w:rsidR="007E10B5">
              <w:rPr>
                <w:rFonts w:ascii="Arial" w:hAnsi="Arial" w:cs="Arial"/>
                <w:sz w:val="20"/>
                <w:szCs w:val="20"/>
              </w:rPr>
              <w:t>. Kurs pogłębia wiedzę, umiejętności i kompetencje społeczne, uzyskane w pierwszej części kursu, poprzez przedstawienie studentom dodatkowych źródeł oraz praktycznych rozwiązań stosowanych w artykułach i raportach badawczych</w:t>
            </w:r>
          </w:p>
        </w:tc>
      </w:tr>
    </w:tbl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2534F" w:rsidRPr="00915AD2" w:rsidTr="00D45DF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2534F" w:rsidRDefault="0052534F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Ogólna wiedza socjologiczna w zakresie przewidzianym kursem „Wstęp do socjologii”</w:t>
            </w:r>
          </w:p>
          <w:p w:rsidR="007E10B5" w:rsidRDefault="007E10B5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„Metody badań społecznych 1”</w:t>
            </w:r>
          </w:p>
        </w:tc>
      </w:tr>
      <w:tr w:rsidR="0052534F" w:rsidRPr="00915AD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52534F" w:rsidRPr="00915AD2" w:rsidRDefault="0052534F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>
        <w:tc>
          <w:tcPr>
            <w:tcW w:w="1941" w:type="dxa"/>
            <w:shd w:val="clear" w:color="auto" w:fill="DBE5F1"/>
            <w:vAlign w:val="center"/>
          </w:tcPr>
          <w:p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2534F" w:rsidRDefault="0052534F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„Wstęp do socjologii” </w:t>
            </w:r>
            <w:r w:rsidR="007E10B5">
              <w:rPr>
                <w:rFonts w:ascii="Arial" w:hAnsi="Arial" w:cs="Arial"/>
                <w:sz w:val="20"/>
                <w:szCs w:val="20"/>
              </w:rPr>
              <w:t>„Metody badań społecznych 1”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954F69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Posiada </w:t>
            </w:r>
            <w:r w:rsidR="007E10B5">
              <w:rPr>
                <w:rFonts w:ascii="Arial" w:hAnsi="Arial" w:cs="Arial"/>
                <w:sz w:val="20"/>
                <w:szCs w:val="20"/>
              </w:rPr>
              <w:t>praktyczną wiedzę z zakresu definiowania pojęć, konstruowania wskaźników, tematu badań, pytań i hipotez badawczych.</w:t>
            </w:r>
          </w:p>
          <w:p w:rsidR="00700AEB" w:rsidRDefault="00A7732A" w:rsidP="00E33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W_02 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Zna </w:t>
            </w:r>
            <w:r w:rsidR="007E10B5">
              <w:rPr>
                <w:rFonts w:ascii="Arial" w:hAnsi="Arial" w:cs="Arial"/>
                <w:sz w:val="20"/>
                <w:szCs w:val="20"/>
              </w:rPr>
              <w:t>dodatkowe</w:t>
            </w:r>
            <w:r w:rsidR="00700AEB">
              <w:rPr>
                <w:rFonts w:ascii="Arial" w:hAnsi="Arial" w:cs="Arial"/>
                <w:sz w:val="20"/>
                <w:szCs w:val="20"/>
              </w:rPr>
              <w:t xml:space="preserve"> metody i techniki badań socjologicznych </w:t>
            </w:r>
            <w:r w:rsidR="00E33714">
              <w:rPr>
                <w:rFonts w:ascii="Arial" w:hAnsi="Arial" w:cs="Arial"/>
                <w:sz w:val="20"/>
                <w:szCs w:val="20"/>
              </w:rPr>
              <w:t>(metoda socjometryczna, teoria ugruntowana, badania ewaluacyjne, metoda biograficzna, analiza danych zastanych i analiza treści) oraz możliwości praktycznego zastosowania metod i technik w badaniach naukowych oraz w badaniach realizowanych pod zamówienie</w:t>
            </w:r>
          </w:p>
          <w:p w:rsidR="00E33714" w:rsidRDefault="00E33714" w:rsidP="00E337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W_03 Zna podstawowe metody prezentacji jakościowych i ilościowych wyników badań</w:t>
            </w:r>
          </w:p>
        </w:tc>
        <w:tc>
          <w:tcPr>
            <w:tcW w:w="2365" w:type="dxa"/>
          </w:tcPr>
          <w:p w:rsidR="00303F50" w:rsidRDefault="00A773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  <w:r w:rsidR="00E33714">
              <w:rPr>
                <w:rFonts w:ascii="Arial" w:hAnsi="Arial" w:cs="Arial"/>
                <w:sz w:val="20"/>
                <w:szCs w:val="20"/>
              </w:rPr>
              <w:t>, 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K_W04</w:t>
            </w: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714" w:rsidRDefault="00E337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41982">
        <w:trPr>
          <w:cantSplit/>
          <w:trHeight w:val="150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031324" w:rsidRDefault="00700AEB" w:rsidP="00700A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</w:t>
            </w:r>
            <w:r w:rsidR="00A6320D">
              <w:rPr>
                <w:rFonts w:ascii="Arial" w:hAnsi="Arial" w:cs="Arial"/>
                <w:sz w:val="20"/>
                <w:szCs w:val="20"/>
              </w:rPr>
              <w:t>Potrafi</w:t>
            </w:r>
            <w:r w:rsidR="00E33714">
              <w:rPr>
                <w:rFonts w:ascii="Arial" w:hAnsi="Arial" w:cs="Arial"/>
                <w:sz w:val="20"/>
                <w:szCs w:val="20"/>
              </w:rPr>
              <w:t xml:space="preserve">wykonać badania z zastosowaniem dodatkowych metod i technik badawczych </w:t>
            </w:r>
            <w:r w:rsidR="00031324">
              <w:rPr>
                <w:rFonts w:ascii="Arial" w:hAnsi="Arial" w:cs="Arial"/>
                <w:sz w:val="20"/>
                <w:szCs w:val="20"/>
              </w:rPr>
              <w:t>(metoda socjometryczna, teoria ugruntowana, badania ewaluacyjne, metoda biograficzna, analiza danych zastanych i analiza treści, badania pod zamówienie) oraz odpowiednio je zaprezentować</w:t>
            </w:r>
          </w:p>
          <w:p w:rsidR="00303F50" w:rsidRDefault="00303F50" w:rsidP="000313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54F69">
              <w:rPr>
                <w:rFonts w:ascii="Arial" w:hAnsi="Arial" w:cs="Arial"/>
                <w:sz w:val="20"/>
                <w:szCs w:val="20"/>
              </w:rPr>
              <w:t xml:space="preserve"> 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EA3C0C" w:rsidRDefault="00EA3C0C" w:rsidP="00A63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Jest przygotowany do roli członka zespołu badawczego, do roli badacza oraz </w:t>
            </w:r>
            <w:r w:rsidR="00031324">
              <w:rPr>
                <w:rFonts w:ascii="Arial" w:hAnsi="Arial" w:cs="Arial"/>
                <w:sz w:val="20"/>
                <w:szCs w:val="20"/>
              </w:rPr>
              <w:t xml:space="preserve">ogólnie przygotowany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31324">
              <w:rPr>
                <w:rFonts w:ascii="Arial" w:hAnsi="Arial" w:cs="Arial"/>
                <w:sz w:val="20"/>
                <w:szCs w:val="20"/>
              </w:rPr>
              <w:t>wykonania różnego rodzaju badań i raportów zgodnie z oczekiwaniami zamawiającego</w:t>
            </w:r>
          </w:p>
          <w:p w:rsidR="00303F50" w:rsidRDefault="00303F50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A21B16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E51F3F" w:rsidRDefault="009916B1">
      <w:pPr>
        <w:rPr>
          <w:rFonts w:ascii="Arial" w:hAnsi="Arial" w:cs="Arial"/>
          <w:color w:val="000000"/>
          <w:sz w:val="22"/>
          <w:szCs w:val="16"/>
        </w:rPr>
      </w:pPr>
      <w:r w:rsidRPr="00E51F3F">
        <w:rPr>
          <w:rFonts w:ascii="Arial" w:hAnsi="Arial" w:cs="Arial"/>
          <w:color w:val="000000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A21B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A21B1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9916B1" w:rsidRPr="00E51F3F" w:rsidRDefault="009916B1" w:rsidP="009916B1">
      <w:pPr>
        <w:rPr>
          <w:rFonts w:ascii="Arial" w:hAnsi="Arial" w:cs="Arial"/>
          <w:color w:val="000000"/>
          <w:sz w:val="22"/>
          <w:szCs w:val="16"/>
        </w:rPr>
      </w:pPr>
      <w:r w:rsidRPr="00E51F3F">
        <w:rPr>
          <w:rFonts w:ascii="Arial" w:hAnsi="Arial" w:cs="Arial"/>
          <w:color w:val="000000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916B1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916B1" w:rsidRDefault="008A29E8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8A29E8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62"/>
        </w:trPr>
        <w:tc>
          <w:tcPr>
            <w:tcW w:w="1611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9916B1"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916B1">
        <w:trPr>
          <w:trHeight w:val="1183"/>
        </w:trPr>
        <w:tc>
          <w:tcPr>
            <w:tcW w:w="9622" w:type="dxa"/>
          </w:tcPr>
          <w:p w:rsidR="00303F50" w:rsidRDefault="002D110F" w:rsidP="00031324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</w:t>
            </w:r>
            <w:r w:rsidR="00031324">
              <w:rPr>
                <w:rFonts w:ascii="Arial" w:hAnsi="Arial" w:cs="Arial"/>
                <w:sz w:val="20"/>
                <w:szCs w:val="20"/>
              </w:rPr>
              <w:t xml:space="preserve">, artykułów naukowych i raportów z badań </w:t>
            </w:r>
            <w:r>
              <w:rPr>
                <w:rFonts w:ascii="Arial" w:hAnsi="Arial" w:cs="Arial"/>
                <w:sz w:val="20"/>
                <w:szCs w:val="20"/>
              </w:rPr>
              <w:t xml:space="preserve">w celu ukazania sposobów </w:t>
            </w:r>
            <w:r w:rsidR="00031324">
              <w:rPr>
                <w:rFonts w:ascii="Arial" w:hAnsi="Arial" w:cs="Arial"/>
                <w:sz w:val="20"/>
                <w:szCs w:val="20"/>
              </w:rPr>
              <w:t>rozwiązywania dylematów metodologicznych, konstruowania podrozdziałów metodologicznych i raportowania</w:t>
            </w:r>
          </w:p>
          <w:p w:rsidR="00EF41E1" w:rsidRDefault="00EF41E1" w:rsidP="00031324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znajomość 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>wskazywanej przez osobę prowadzącą te zajęcia. Znajomość lektur będzie sprawdzana na bieżąco podczas zajęć.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bookmarkStart w:id="0" w:name="_Hlk149624679"/>
      <w:r>
        <w:rPr>
          <w:rFonts w:ascii="Arial" w:hAnsi="Arial" w:cs="Arial"/>
          <w:sz w:val="22"/>
          <w:szCs w:val="16"/>
        </w:rPr>
        <w:t>Formy sprawdzania efektów</w:t>
      </w:r>
      <w:r w:rsidR="00954F69">
        <w:rPr>
          <w:rFonts w:ascii="Arial" w:hAnsi="Arial" w:cs="Arial"/>
          <w:sz w:val="22"/>
          <w:szCs w:val="16"/>
        </w:rPr>
        <w:t xml:space="preserve"> uczenia się</w:t>
      </w:r>
      <w:r w:rsidR="00A21B16">
        <w:rPr>
          <w:rFonts w:ascii="Arial" w:hAnsi="Arial" w:cs="Arial"/>
          <w:color w:val="000000"/>
          <w:sz w:val="22"/>
          <w:szCs w:val="14"/>
        </w:rPr>
        <w:t xml:space="preserve"> – studia stacjonarne</w:t>
      </w:r>
      <w:r w:rsidR="008A29E8">
        <w:rPr>
          <w:rFonts w:ascii="Arial" w:hAnsi="Arial" w:cs="Arial"/>
          <w:color w:val="000000"/>
          <w:sz w:val="22"/>
          <w:szCs w:val="14"/>
        </w:rPr>
        <w:t xml:space="preserve"> i niestacjonarne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662265">
              <w:rPr>
                <w:rFonts w:ascii="Arial" w:hAnsi="Arial" w:cs="Arial"/>
                <w:sz w:val="20"/>
                <w:szCs w:val="20"/>
              </w:rPr>
              <w:t>kolokwium pisemne</w:t>
            </w:r>
          </w:p>
        </w:tc>
      </w:tr>
      <w:tr w:rsidR="0066226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662265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662265" w:rsidRDefault="00662265" w:rsidP="006622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A21B16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662265" w:rsidRDefault="00662265" w:rsidP="0066226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bookmarkEnd w:id="0"/>
    <w:p w:rsidR="00A21B16" w:rsidRDefault="00A21B16">
      <w:pPr>
        <w:pStyle w:val="Zawartotabeli"/>
        <w:rPr>
          <w:rFonts w:ascii="Arial" w:hAnsi="Arial" w:cs="Arial"/>
          <w:sz w:val="22"/>
          <w:szCs w:val="16"/>
        </w:rPr>
      </w:pPr>
    </w:p>
    <w:p w:rsidR="00A21B16" w:rsidRDefault="00A21B16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EF41E1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Kryteria oceny – studia stacjonarne</w:t>
      </w:r>
      <w:r w:rsidR="008A29E8">
        <w:rPr>
          <w:rFonts w:ascii="Arial" w:hAnsi="Arial" w:cs="Arial"/>
          <w:sz w:val="22"/>
          <w:szCs w:val="16"/>
        </w:rPr>
        <w:t xml:space="preserve"> i niestacjonarne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55367086"/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303F50" w:rsidRDefault="00E3421A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Ocena z przedmiotu ustalana jest </w:t>
            </w:r>
            <w:r w:rsidR="008A15F2">
              <w:rPr>
                <w:rFonts w:ascii="Arial" w:hAnsi="Arial" w:cs="Arial"/>
                <w:sz w:val="20"/>
                <w:szCs w:val="20"/>
              </w:rPr>
              <w:t>na podstawie wyników</w:t>
            </w:r>
            <w:r w:rsidR="001C672E">
              <w:rPr>
                <w:rFonts w:ascii="Arial" w:hAnsi="Arial" w:cs="Arial"/>
                <w:sz w:val="20"/>
                <w:szCs w:val="20"/>
              </w:rPr>
              <w:t xml:space="preserve"> z kolokwium zaliczeniowego</w:t>
            </w:r>
            <w:r w:rsidR="00370807">
              <w:rPr>
                <w:rFonts w:ascii="Arial" w:hAnsi="Arial" w:cs="Arial"/>
                <w:sz w:val="20"/>
                <w:szCs w:val="20"/>
              </w:rPr>
              <w:t xml:space="preserve"> oraz aktywności</w:t>
            </w:r>
            <w:r w:rsidR="001C672E">
              <w:rPr>
                <w:rFonts w:ascii="Arial" w:hAnsi="Arial" w:cs="Arial"/>
                <w:sz w:val="20"/>
                <w:szCs w:val="20"/>
              </w:rPr>
              <w:t>.</w:t>
            </w:r>
            <w:r w:rsidR="00370807">
              <w:rPr>
                <w:rFonts w:ascii="Arial" w:hAnsi="Arial" w:cs="Arial"/>
                <w:sz w:val="20"/>
                <w:szCs w:val="20"/>
              </w:rPr>
              <w:t xml:space="preserve"> Opuszczenie więcej niż 50% wykładów lub 50% ćwiczeń oznacza definitywne skreślenie z listy studentów.</w:t>
            </w:r>
          </w:p>
        </w:tc>
      </w:tr>
      <w:bookmarkEnd w:id="1"/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8A15F2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kończą się egzaminem sprawdzającym</w:t>
            </w:r>
            <w:r w:rsidR="00A21B16">
              <w:rPr>
                <w:rFonts w:ascii="Arial" w:hAnsi="Arial" w:cs="Arial"/>
                <w:sz w:val="20"/>
                <w:szCs w:val="20"/>
              </w:rPr>
              <w:t>. Do egzaminu mogą podejść wyłącznie osoby, które pozytywnie zaliczyły kolokwium zaliczeniowe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BC5949">
        <w:rPr>
          <w:rFonts w:ascii="Arial" w:hAnsi="Arial" w:cs="Arial"/>
          <w:sz w:val="22"/>
          <w:szCs w:val="22"/>
        </w:rPr>
        <w:t xml:space="preserve"> – studia stacjonarne</w:t>
      </w:r>
      <w:r w:rsidR="008A29E8">
        <w:rPr>
          <w:rFonts w:ascii="Arial" w:hAnsi="Arial" w:cs="Arial"/>
          <w:sz w:val="22"/>
          <w:szCs w:val="22"/>
        </w:rPr>
        <w:t xml:space="preserve"> i niestacjonarne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B02DDC" w:rsidRPr="00370807" w:rsidRDefault="00A3644C" w:rsidP="00370807">
            <w:pPr>
              <w:widowControl/>
              <w:suppressAutoHyphens w:val="0"/>
              <w:autoSpaceDE/>
              <w:spacing w:after="120"/>
              <w:ind w:left="779"/>
            </w:pPr>
            <w:r w:rsidRPr="00370807">
              <w:t>Wykłady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>Socjologia po przełomie antypozytywistycznym – koncepcje rozumienia, wolności od wartościowania, współczynnika humanistycznego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Teoria ugruntowana i analiza materiału jakościowego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>Prezentacja wyników badań ilościowych (tabele i wykresy)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Metoda socjometryczna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Analiza danych zastanych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Analiza treści </w:t>
            </w:r>
          </w:p>
          <w:p w:rsidR="00370807" w:rsidRPr="00370807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Badania ewaluacyjne </w:t>
            </w:r>
          </w:p>
          <w:p w:rsidR="00AB06BB" w:rsidRDefault="00370807" w:rsidP="00BC5949">
            <w:pPr>
              <w:widowControl/>
              <w:numPr>
                <w:ilvl w:val="0"/>
                <w:numId w:val="17"/>
              </w:numPr>
              <w:suppressAutoHyphens w:val="0"/>
              <w:autoSpaceDE/>
              <w:ind w:left="777" w:hanging="357"/>
            </w:pPr>
            <w:r>
              <w:t xml:space="preserve">Realizacja badań pod zamówienie </w:t>
            </w:r>
          </w:p>
          <w:p w:rsidR="00BC5949" w:rsidRDefault="00BC5949" w:rsidP="00BC5949">
            <w:pPr>
              <w:widowControl/>
              <w:suppressAutoHyphens w:val="0"/>
              <w:autoSpaceDE/>
              <w:ind w:left="777"/>
            </w:pPr>
          </w:p>
          <w:p w:rsidR="00370807" w:rsidRDefault="00370807" w:rsidP="00370807">
            <w:pPr>
              <w:widowControl/>
              <w:suppressAutoHyphens w:val="0"/>
              <w:autoSpaceDE/>
              <w:spacing w:after="120"/>
              <w:ind w:left="779"/>
            </w:pPr>
            <w:r>
              <w:lastRenderedPageBreak/>
              <w:t>Ćwiczenia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Socjologia po przełomie antypozytywistycznym – obiektywizm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Przykłady analizy materiału jakościowego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Konceptualizacja pojęć – kariera zawodowa, kapitał społeczny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Obserwacje ukryte; neutralność a zaangażowanie w badaniach obserwacyjnych</w:t>
            </w:r>
          </w:p>
          <w:p w:rsidR="00370807" w:rsidRPr="00BC5949" w:rsidRDefault="00370807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Przykłady zastosowania analizy treści</w:t>
            </w:r>
          </w:p>
          <w:p w:rsidR="00370807" w:rsidRPr="00BC5949" w:rsidRDefault="00BC5949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Badania ewaluacyjne w praktyce</w:t>
            </w:r>
          </w:p>
          <w:p w:rsidR="00BC5949" w:rsidRPr="00370807" w:rsidRDefault="00BC5949" w:rsidP="00BC5949">
            <w:pPr>
              <w:pStyle w:val="Akapitzlist"/>
              <w:numPr>
                <w:ilvl w:val="0"/>
                <w:numId w:val="19"/>
              </w:numPr>
              <w:spacing w:after="120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BC5949">
              <w:rPr>
                <w:rFonts w:ascii="Times New Roman" w:hAnsi="Times New Roman"/>
                <w:sz w:val="24"/>
                <w:szCs w:val="24"/>
              </w:rPr>
              <w:t>Badania realizowane pod zamówienia publiczne w praktyce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70807" w:rsidRDefault="00370807">
      <w:pPr>
        <w:rPr>
          <w:rFonts w:ascii="Arial" w:hAnsi="Arial" w:cs="Arial"/>
          <w:sz w:val="22"/>
          <w:szCs w:val="22"/>
        </w:rPr>
      </w:pPr>
    </w:p>
    <w:p w:rsidR="00370807" w:rsidRDefault="00370807">
      <w:pPr>
        <w:rPr>
          <w:rFonts w:ascii="Arial" w:hAnsi="Arial" w:cs="Arial"/>
          <w:sz w:val="22"/>
          <w:szCs w:val="22"/>
        </w:rPr>
      </w:pPr>
    </w:p>
    <w:p w:rsidR="00370807" w:rsidRDefault="00370807">
      <w:pPr>
        <w:rPr>
          <w:rFonts w:ascii="Arial" w:hAnsi="Arial" w:cs="Arial"/>
          <w:sz w:val="22"/>
          <w:szCs w:val="22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Dutka G., Strategie migracyjne młodych Polaków w okresie poakcesyjnym. Konteksty lokalne i regionalne (na przykładzie mieszkańców średniego miasta), OfficinaSimonidis, Zamość 2014 (fragmenty)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Ewaluacja. Poradnik dla pracowników administracji publicznej, Warszawa 2010</w:t>
            </w:r>
          </w:p>
          <w:p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Gouldner</w:t>
            </w:r>
            <w:r w:rsidR="00346A79" w:rsidRPr="00346A79">
              <w:t xml:space="preserve"> A.W.</w:t>
            </w:r>
            <w:r w:rsidRPr="00346A79">
              <w:t>, Anty-Minotaur, czyli mit socjologii wolnej od warto</w:t>
            </w:r>
            <w:r w:rsidRPr="00346A79">
              <w:rPr>
                <w:rFonts w:hint="eastAsia"/>
              </w:rPr>
              <w:t>ś</w:t>
            </w:r>
            <w:r w:rsidRPr="00346A79">
              <w:t>ci, w: Kryzys i schizma, t 1, red. E. Mokrzycki, Warszawa 1984 (wybrane 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Jagnicki K., Wiśniewska M., Nowakowski T., Rozdział 7. Przykład ilościowej analizy treści. Analiza ofert pracy zamieszczonych na portalu gumtree.pl W: Analiza danych zastanych, przewodnik dla studentów, M. Makowska (red.) Warszawa 2013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Kossakowski R., Antonowicz D., Szlendak T., Duszący dym odpalonych rac. O wyzwaniach w etnografii subkultury kibiców piłkarskich, Przegląd Socjologii Jakościowej, Tom VIII Numer 3, 2012</w:t>
            </w:r>
          </w:p>
          <w:p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Łopaciuk-Gonczaryk</w:t>
            </w:r>
            <w:r w:rsidR="00346A79" w:rsidRPr="00346A79">
              <w:t xml:space="preserve"> B.</w:t>
            </w:r>
            <w:r w:rsidRPr="00346A79">
              <w:t>, Mierzenie kapitału społecznego, GOSPODARKA NARODOWA, 1-2, 2012</w:t>
            </w:r>
          </w:p>
          <w:p w:rsidR="00BC5949" w:rsidRPr="00346A79" w:rsidRDefault="00BC594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Miszewski</w:t>
            </w:r>
            <w:r w:rsidR="00346A79" w:rsidRPr="00346A79">
              <w:t xml:space="preserve"> K.</w:t>
            </w:r>
            <w:r w:rsidRPr="00346A79">
              <w:t>, Kiedy badacz jest tajnym agentem. O postrzeganiu niejawnej obserwacji uczestniczącej jako etycznie problematycznej, metodach badań ilościowych i jakościowych, zakulisowych wymiarach, Przegląd Socjologii Jakościowej · September 2007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Ossowski S., O osobliwościach nauk społecznych, PWN, Warszawa 2001, Rozdział „Wzory nauk przyrodniczych w empirycznej socjologii” (wybrane 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Piekarski R., Osądy wartościujące w naukach społecznych – dyskusja stanowiska Maxa Webera, Ruch Filozoficzny LXXII 2016 2 (wybrane fragmenty)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Pietruszewski M., Wskaźniki sukcesu zawodowego i ich operacjonalizacja w praktyce badawczej, Humanizacja pracy, 2015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Sadurska-Duffy E.</w:t>
            </w:r>
            <w:r>
              <w:t>,</w:t>
            </w:r>
            <w:r w:rsidRPr="00346A79">
              <w:t xml:space="preserve"> Rozdział 8. Przykład jakościowej analizy treści. Wizerunek Polaka – imigranta zarobkowego w prasie brytyjskiej w latach 2004-2006 W: Analiza danych zastanych, przewodnik dla studentów, M. Makowska (red.) Warszawa 2013</w:t>
            </w:r>
          </w:p>
          <w:p w:rsidR="00346A7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Weber M., „ Obiektywno</w:t>
            </w:r>
            <w:r w:rsidRPr="00346A79">
              <w:rPr>
                <w:rFonts w:hint="eastAsia"/>
              </w:rPr>
              <w:t>ść</w:t>
            </w:r>
            <w:r w:rsidRPr="00346A79">
              <w:t>" poznania w naukach spo</w:t>
            </w:r>
            <w:r w:rsidRPr="00346A79">
              <w:rPr>
                <w:rFonts w:hint="eastAsia"/>
              </w:rPr>
              <w:t>ł</w:t>
            </w:r>
            <w:r w:rsidRPr="00346A79">
              <w:t>ecznych, w: Problemy socjologii wiedzy, red. A. Chmielecki, S. Czerniak, J. Ni</w:t>
            </w:r>
            <w:r w:rsidRPr="00346A79">
              <w:rPr>
                <w:rFonts w:hint="eastAsia"/>
              </w:rPr>
              <w:t>ż</w:t>
            </w:r>
            <w:r w:rsidRPr="00346A79">
              <w:t>nik, S. Rainko, Warszawa 1985 (wybrane fragmenty)</w:t>
            </w:r>
          </w:p>
          <w:p w:rsidR="00BC5949" w:rsidRPr="00346A79" w:rsidRDefault="00346A79" w:rsidP="00346A79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426"/>
            </w:pPr>
            <w:r w:rsidRPr="00346A79">
              <w:t>Wybrane raporty z badań ewaluacyjnych oraz SIWZ i SOPZ</w:t>
            </w:r>
          </w:p>
          <w:p w:rsidR="00BC5949" w:rsidRPr="00346A79" w:rsidRDefault="00BC5949" w:rsidP="00BC594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E5E3A" w:rsidRPr="00346A79" w:rsidRDefault="00EE5E3A" w:rsidP="00346A7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C5949" w:rsidRPr="0024049B" w:rsidRDefault="00BC5949" w:rsidP="00BC5949">
            <w:pPr>
              <w:jc w:val="both"/>
              <w:rPr>
                <w:sz w:val="20"/>
                <w:szCs w:val="20"/>
              </w:rPr>
            </w:pP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Angrosino M. V., Obserwacja w nowym kontekście. Etnografia, pedagogika i rozwój problematyki społecznej (w:) (red.) N. K. Denzin, Y. S. Lincoln, Metody badań jakościowych t.2, Warszawa 2009,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Babbie E., Badania społeczne w praktyce, Warszawa 2003, Rozdział 12 Badania ewaluacyjne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Chase S. E., Wywiad narracyjny. Wielość perspektyw, podejść, głosów, (w:) (red.) N. K. Denzin, Y. S. Lincoln, Metody badań jakościowych t.2, Warszawa 2009,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Chmielewska-Banaszak D., Uwagi o stosowaniu wywiadu narracyjnego, (w:) red. J. Leoński, A. Kołodziej – Durnaś, W kręgu socjologii interpretatywnej – zastosowanie metod jakościowych, Szczecin 2005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Chmielewska A., Kołodziejczyk J., Zastosowanie socjometrii jako narzędzia badania ról zespołowych ,</w:t>
            </w:r>
            <w:r w:rsidR="000B3EC3">
              <w:t>”</w:t>
            </w:r>
            <w:r w:rsidRPr="00346A79">
              <w:t>Współczesne zarządzanie” 2/2013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Gorzko M., Co znaczy, że pojęcia wyłaniają się z danych?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GUS, Graficzna prezentacja danych statystycznych. Wykresy, mapy, GIS, Warszawa 2014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House E. R., Ewaluacja jakościowa i zmiana polityki społecznej, (w:) (red.) N. K. Denzin, Y. S. Lincoln, Metody badań jakościowych t.2, Warszawa 2009,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Koncecki K. T., Teoria ugruntowana a kontekst odkrycia. Naturalna historia pewnego badania,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Kozłowska U., Adam: przypadek robotnika stoczniowego – zastosowanie metody biograficznej,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Kurzępa J., Skutki zmiany ustroju w świetle zachowań młodzieży w zachodnim pasie pogranicza, Rocznik Lubuski Tom XXI 1995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Maison D., Jakościowe metody badań marketingowych. Jak zrozumieć konsumenta, Warszawa 2015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Makowska M., (red.) Analiza danych zastanych, przewodnik dla studentów, Warszawa 2013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Mazurek-Łopacińska K., Badania marketingowe. Metody, techniki i obszary aplikacji na współczesnym rynku, Warszawa 2016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Mayntz R., Holm K., Hübner P., Wprowadzenie do metod socjologii empirycznej, Warszawa 1985, Rozdział 6 i 8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Perakyla A., Analiza rozmów i tekstów, (w:) (red.) N. K. Denzin, Y. S. Lincoln, Metody badań jakościowych t.2, Warszawa 2009,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Piorunek M. (red.) Badania biograficzne i narracyjne w perspektywie interdyscyplinarnej Aplikacje – Egzemplifikacje – Dylematy metodologiczne, Poznań 2016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 xml:space="preserve">Przewodnik dobrych praktyk w zakresie zamówień publicznych w obszarze kultury, Warszawa 2016 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Rapley T., Analiza konwersacji, dyskursu i dokumentów, Warszawa 2010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t>Rokuszewska-Pawełek, Miejsce biografii w socjologii interpretatywnej, ASK 1996/1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Rzepa T., Autobiografie jako źródło wiedzy o sztuce życia, (w:) red. J. Leoński, A. Kołodziej – Durnaś, W kręgu socjologii interpretatywnej – zastosowanie metod jakościowych, Szczecin 2005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Silverman D., Interpretacja danych jakościowych, Warszawa 2007, Rozdział 3 Etnografia i obserwacja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Silverman D., Interpretacja danych jakościowych, Warszawa 2007, Rozdział 5 Teksty</w:t>
            </w:r>
          </w:p>
          <w:p w:rsidR="000B3EC3" w:rsidRPr="000B3EC3" w:rsidRDefault="000B3EC3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0B3EC3">
              <w:t>Teoria i praktyka ewaluacji interwencji publicznych. Podręcznik akademicki (red.) K. Olejniczak, M. Kozak, B. Ledzion, Warszawa 2008</w:t>
            </w:r>
          </w:p>
          <w:p w:rsidR="00346A79" w:rsidRPr="00346A79" w:rsidRDefault="00346A79" w:rsidP="000B3EC3">
            <w:pPr>
              <w:widowControl/>
              <w:numPr>
                <w:ilvl w:val="0"/>
                <w:numId w:val="21"/>
              </w:numPr>
              <w:suppressAutoHyphens w:val="0"/>
              <w:autoSpaceDE/>
              <w:ind w:left="567"/>
            </w:pPr>
            <w:r w:rsidRPr="00346A79">
              <w:lastRenderedPageBreak/>
              <w:t>Zwierzyńska E., Poznawanie klasy szkolnej, Warszawa 2008, Od s. 33</w:t>
            </w:r>
          </w:p>
          <w:p w:rsidR="00EE5E3A" w:rsidRPr="00555859" w:rsidRDefault="00EE5E3A" w:rsidP="00555859">
            <w:pPr>
              <w:pStyle w:val="Akapitzlist"/>
              <w:spacing w:after="0" w:line="240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E51F3F">
        <w:rPr>
          <w:rFonts w:ascii="Arial" w:hAnsi="Arial" w:cs="Arial"/>
          <w:color w:val="000000"/>
          <w:sz w:val="22"/>
        </w:rPr>
        <w:t>studia stacjonarne</w:t>
      </w:r>
      <w:r w:rsidR="009916B1"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0B3E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0B3E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32FB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CB2C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B79D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A36E8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32FB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CB2C9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32FB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A36E8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E51F3F">
        <w:rPr>
          <w:rFonts w:ascii="Arial" w:hAnsi="Arial" w:cs="Arial"/>
          <w:color w:val="000000"/>
          <w:sz w:val="22"/>
        </w:rPr>
        <w:t>studia niestacjonarne</w:t>
      </w:r>
      <w:r w:rsidRPr="00E51F3F">
        <w:rPr>
          <w:rFonts w:ascii="Arial" w:hAnsi="Arial" w:cs="Arial"/>
          <w:color w:val="000000"/>
          <w:sz w:val="22"/>
          <w:szCs w:val="14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916B1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916B1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916B1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8A5B92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715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916B1" w:rsidRDefault="008A29E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9916B1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8A5B92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CB79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916B1" w:rsidRDefault="00D30206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A5B9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CB79D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916B1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916B1" w:rsidRDefault="00CB2C9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 w:rsidSect="000B6AC1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F28" w:rsidRDefault="001B6F28">
      <w:r>
        <w:separator/>
      </w:r>
    </w:p>
  </w:endnote>
  <w:endnote w:type="continuationSeparator" w:id="1">
    <w:p w:rsidR="001B6F28" w:rsidRDefault="001B6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56BDF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42EDD">
      <w:rPr>
        <w:noProof/>
      </w:rPr>
      <w:t>1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F28" w:rsidRDefault="001B6F28">
      <w:r>
        <w:separator/>
      </w:r>
    </w:p>
  </w:footnote>
  <w:footnote w:type="continuationSeparator" w:id="1">
    <w:p w:rsidR="001B6F28" w:rsidRDefault="001B6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DD66B0E"/>
    <w:multiLevelType w:val="hybridMultilevel"/>
    <w:tmpl w:val="FD6261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A7FB6"/>
    <w:multiLevelType w:val="hybridMultilevel"/>
    <w:tmpl w:val="AEC66D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8C2304"/>
    <w:multiLevelType w:val="hybridMultilevel"/>
    <w:tmpl w:val="EBBE74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B20146"/>
    <w:multiLevelType w:val="hybridMultilevel"/>
    <w:tmpl w:val="E872EB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471F8B"/>
    <w:multiLevelType w:val="hybridMultilevel"/>
    <w:tmpl w:val="E08E2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9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  <w:num w:numId="15">
    <w:abstractNumId w:val="15"/>
  </w:num>
  <w:num w:numId="16">
    <w:abstractNumId w:val="13"/>
  </w:num>
  <w:num w:numId="17">
    <w:abstractNumId w:val="11"/>
  </w:num>
  <w:num w:numId="18">
    <w:abstractNumId w:val="10"/>
  </w:num>
  <w:num w:numId="19">
    <w:abstractNumId w:val="2"/>
  </w:num>
  <w:num w:numId="20">
    <w:abstractNumId w:val="1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59A4"/>
    <w:rsid w:val="00027707"/>
    <w:rsid w:val="00031324"/>
    <w:rsid w:val="00041D91"/>
    <w:rsid w:val="00095609"/>
    <w:rsid w:val="000B2D75"/>
    <w:rsid w:val="000B3EC3"/>
    <w:rsid w:val="000B6AC1"/>
    <w:rsid w:val="001B6F28"/>
    <w:rsid w:val="001C672E"/>
    <w:rsid w:val="00250E48"/>
    <w:rsid w:val="002C2463"/>
    <w:rsid w:val="002D110F"/>
    <w:rsid w:val="002E0662"/>
    <w:rsid w:val="00303F50"/>
    <w:rsid w:val="00342EDD"/>
    <w:rsid w:val="00346A79"/>
    <w:rsid w:val="003674CC"/>
    <w:rsid w:val="00370807"/>
    <w:rsid w:val="00373AEB"/>
    <w:rsid w:val="00387D94"/>
    <w:rsid w:val="0039256E"/>
    <w:rsid w:val="003D34FE"/>
    <w:rsid w:val="00434CDD"/>
    <w:rsid w:val="004669AF"/>
    <w:rsid w:val="00483ECE"/>
    <w:rsid w:val="00512FFA"/>
    <w:rsid w:val="0052534F"/>
    <w:rsid w:val="00541982"/>
    <w:rsid w:val="00555859"/>
    <w:rsid w:val="005C068F"/>
    <w:rsid w:val="005D0268"/>
    <w:rsid w:val="005E65F3"/>
    <w:rsid w:val="006115FF"/>
    <w:rsid w:val="00662265"/>
    <w:rsid w:val="00666412"/>
    <w:rsid w:val="00695FF9"/>
    <w:rsid w:val="006B043F"/>
    <w:rsid w:val="006D5800"/>
    <w:rsid w:val="006E3C9D"/>
    <w:rsid w:val="00700AEB"/>
    <w:rsid w:val="00700CD5"/>
    <w:rsid w:val="00705C3A"/>
    <w:rsid w:val="00716872"/>
    <w:rsid w:val="007B0473"/>
    <w:rsid w:val="007E10B5"/>
    <w:rsid w:val="00827D3B"/>
    <w:rsid w:val="00847145"/>
    <w:rsid w:val="008A15F2"/>
    <w:rsid w:val="008A29E8"/>
    <w:rsid w:val="008A5B92"/>
    <w:rsid w:val="008B0D3B"/>
    <w:rsid w:val="008B703C"/>
    <w:rsid w:val="008D5DD2"/>
    <w:rsid w:val="009026FF"/>
    <w:rsid w:val="00915AD2"/>
    <w:rsid w:val="009277D9"/>
    <w:rsid w:val="00932FBF"/>
    <w:rsid w:val="009517A6"/>
    <w:rsid w:val="00954F69"/>
    <w:rsid w:val="0098787F"/>
    <w:rsid w:val="009916B1"/>
    <w:rsid w:val="009A5F61"/>
    <w:rsid w:val="009E3DDD"/>
    <w:rsid w:val="00A21B16"/>
    <w:rsid w:val="00A3644C"/>
    <w:rsid w:val="00A36E88"/>
    <w:rsid w:val="00A56BDF"/>
    <w:rsid w:val="00A6320D"/>
    <w:rsid w:val="00A7732A"/>
    <w:rsid w:val="00A8016C"/>
    <w:rsid w:val="00A8544F"/>
    <w:rsid w:val="00AA0959"/>
    <w:rsid w:val="00AB06BB"/>
    <w:rsid w:val="00AB3AA5"/>
    <w:rsid w:val="00AE50CE"/>
    <w:rsid w:val="00B02DDC"/>
    <w:rsid w:val="00B4198C"/>
    <w:rsid w:val="00B41CA6"/>
    <w:rsid w:val="00B706BE"/>
    <w:rsid w:val="00B71510"/>
    <w:rsid w:val="00BA71F8"/>
    <w:rsid w:val="00BC5949"/>
    <w:rsid w:val="00BE44AB"/>
    <w:rsid w:val="00C01073"/>
    <w:rsid w:val="00C27C8F"/>
    <w:rsid w:val="00C61290"/>
    <w:rsid w:val="00C64505"/>
    <w:rsid w:val="00C91A6B"/>
    <w:rsid w:val="00CA4372"/>
    <w:rsid w:val="00CA6EAE"/>
    <w:rsid w:val="00CB2C91"/>
    <w:rsid w:val="00CB79D1"/>
    <w:rsid w:val="00CC4881"/>
    <w:rsid w:val="00CE17AF"/>
    <w:rsid w:val="00D30206"/>
    <w:rsid w:val="00D32FBE"/>
    <w:rsid w:val="00D3789B"/>
    <w:rsid w:val="00D45DF3"/>
    <w:rsid w:val="00D82DE5"/>
    <w:rsid w:val="00D851B5"/>
    <w:rsid w:val="00DB3679"/>
    <w:rsid w:val="00E33714"/>
    <w:rsid w:val="00E3421A"/>
    <w:rsid w:val="00E51F3F"/>
    <w:rsid w:val="00EA3C0C"/>
    <w:rsid w:val="00EC1E9C"/>
    <w:rsid w:val="00ED347D"/>
    <w:rsid w:val="00ED6FB6"/>
    <w:rsid w:val="00EE5E3A"/>
    <w:rsid w:val="00EF41E1"/>
    <w:rsid w:val="00F002F0"/>
    <w:rsid w:val="00F31EC2"/>
    <w:rsid w:val="00F56D94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AC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B6AC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B6AC1"/>
  </w:style>
  <w:style w:type="character" w:styleId="Numerstrony">
    <w:name w:val="page number"/>
    <w:semiHidden/>
    <w:rsid w:val="000B6AC1"/>
    <w:rPr>
      <w:sz w:val="14"/>
      <w:szCs w:val="14"/>
    </w:rPr>
  </w:style>
  <w:style w:type="paragraph" w:styleId="Tekstpodstawowy">
    <w:name w:val="Body Text"/>
    <w:basedOn w:val="Normalny"/>
    <w:semiHidden/>
    <w:rsid w:val="000B6AC1"/>
    <w:pPr>
      <w:spacing w:after="120"/>
    </w:pPr>
  </w:style>
  <w:style w:type="paragraph" w:customStyle="1" w:styleId="Podpis1">
    <w:name w:val="Podpis1"/>
    <w:basedOn w:val="Normalny"/>
    <w:rsid w:val="000B6AC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0B6AC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0B6AC1"/>
  </w:style>
  <w:style w:type="paragraph" w:styleId="Stopka">
    <w:name w:val="footer"/>
    <w:basedOn w:val="Normalny"/>
    <w:semiHidden/>
    <w:rsid w:val="000B6AC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B6AC1"/>
    <w:pPr>
      <w:suppressLineNumbers/>
    </w:pPr>
  </w:style>
  <w:style w:type="paragraph" w:customStyle="1" w:styleId="Nagwektabeli">
    <w:name w:val="Nagłówek tabeli"/>
    <w:basedOn w:val="Zawartotabeli"/>
    <w:rsid w:val="000B6AC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B6AC1"/>
  </w:style>
  <w:style w:type="paragraph" w:customStyle="1" w:styleId="Indeks">
    <w:name w:val="Indeks"/>
    <w:basedOn w:val="Normalny"/>
    <w:rsid w:val="000B6AC1"/>
    <w:pPr>
      <w:suppressLineNumbers/>
    </w:pPr>
  </w:style>
  <w:style w:type="character" w:styleId="Odwoaniedokomentarza">
    <w:name w:val="annotation reference"/>
    <w:semiHidden/>
    <w:rsid w:val="000B6AC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B6AC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B6AC1"/>
    <w:rPr>
      <w:b/>
      <w:bCs/>
    </w:rPr>
  </w:style>
  <w:style w:type="paragraph" w:customStyle="1" w:styleId="Tekstdymka1">
    <w:name w:val="Tekst dymka1"/>
    <w:basedOn w:val="Normalny"/>
    <w:rsid w:val="000B6AC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B6AC1"/>
    <w:rPr>
      <w:sz w:val="20"/>
      <w:szCs w:val="20"/>
    </w:rPr>
  </w:style>
  <w:style w:type="character" w:styleId="Odwoanieprzypisudolnego">
    <w:name w:val="footnote reference"/>
    <w:semiHidden/>
    <w:rsid w:val="000B6AC1"/>
    <w:rPr>
      <w:vertAlign w:val="superscript"/>
    </w:rPr>
  </w:style>
  <w:style w:type="character" w:customStyle="1" w:styleId="StopkaZnak">
    <w:name w:val="Stopka Znak"/>
    <w:rsid w:val="000B6AC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1689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2024-11-02T17:17:00Z</dcterms:created>
  <dcterms:modified xsi:type="dcterms:W3CDTF">2024-11-03T16:10:00Z</dcterms:modified>
</cp:coreProperties>
</file>