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54BF" w14:textId="5349E85C" w:rsidR="0002642C" w:rsidRDefault="00E84390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 xml:space="preserve"> Course </w:t>
      </w:r>
      <w:proofErr w:type="spellStart"/>
      <w:r>
        <w:rPr>
          <w:rFonts w:ascii="Arial" w:hAnsi="Arial" w:cs="Arial"/>
          <w:b/>
          <w:bCs/>
          <w:sz w:val="24"/>
        </w:rPr>
        <w:t>card</w:t>
      </w:r>
      <w:proofErr w:type="spellEnd"/>
      <w:r>
        <w:rPr>
          <w:rFonts w:ascii="Arial" w:hAnsi="Arial" w:cs="Arial"/>
          <w:b/>
          <w:bCs/>
          <w:sz w:val="24"/>
        </w:rPr>
        <w:t>/Karta kursu</w:t>
      </w:r>
    </w:p>
    <w:p w14:paraId="0723E22E" w14:textId="77777777" w:rsidR="0002642C" w:rsidRDefault="0002642C">
      <w:pPr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2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72"/>
      </w:tblGrid>
      <w:tr w:rsidR="0002642C" w:rsidRPr="00E721FC" w14:paraId="5FE76488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6A8BA6F" w14:textId="77777777" w:rsidR="0002642C" w:rsidRDefault="00E84390">
            <w:pPr>
              <w:snapToGrid w:val="0"/>
              <w:spacing w:before="57" w:after="57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76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204DEE3" w14:textId="77777777" w:rsidR="0002642C" w:rsidRPr="00E84390" w:rsidRDefault="00E84390">
            <w:pPr>
              <w:pStyle w:val="Zawartotabeli"/>
              <w:snapToGrid w:val="0"/>
              <w:spacing w:before="60" w:after="60"/>
              <w:jc w:val="center"/>
              <w:rPr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Cultural Studies 2. Individual and Collective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Identit</w:t>
            </w:r>
            <w:proofErr w:type="spellEnd"/>
            <w:r w:rsidRPr="00E84390">
              <w:rPr>
                <w:rFonts w:ascii="Arial" w:hAnsi="Arial" w:cs="Arial"/>
                <w:b/>
                <w:sz w:val="20"/>
                <w:szCs w:val="20"/>
                <w:lang w:val="en-GB"/>
              </w:rPr>
              <w:t>y</w:t>
            </w:r>
          </w:p>
        </w:tc>
      </w:tr>
    </w:tbl>
    <w:p w14:paraId="4B08ACD7" w14:textId="77777777" w:rsidR="0002642C" w:rsidRPr="00E84390" w:rsidRDefault="0002642C">
      <w:pPr>
        <w:jc w:val="center"/>
        <w:rPr>
          <w:lang w:val="en-GB"/>
        </w:rPr>
      </w:pPr>
    </w:p>
    <w:tbl>
      <w:tblPr>
        <w:tblW w:w="0" w:type="auto"/>
        <w:tblInd w:w="-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1985"/>
        <w:gridCol w:w="1293"/>
      </w:tblGrid>
      <w:tr w:rsidR="0002642C" w14:paraId="2F161260" w14:textId="77777777">
        <w:trPr>
          <w:trHeight w:val="40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6DBA27A" w14:textId="77777777" w:rsidR="0002642C" w:rsidRDefault="00E84390">
            <w:pPr>
              <w:snapToGrid w:val="0"/>
              <w:spacing w:before="57" w:after="57" w:line="10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439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2F4EB26" w14:textId="77777777" w:rsidR="0002642C" w:rsidRDefault="0002642C">
            <w:pPr>
              <w:snapToGrid w:val="0"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8EDFFED" w14:textId="77777777" w:rsidR="0002642C" w:rsidRDefault="00E84390">
            <w:pPr>
              <w:snapToGrid w:val="0"/>
              <w:spacing w:line="100" w:lineRule="atLeast"/>
              <w:ind w:left="4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ECTS*</w:t>
            </w:r>
          </w:p>
        </w:tc>
        <w:tc>
          <w:tcPr>
            <w:tcW w:w="129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D7FE8E2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</w:tbl>
    <w:p w14:paraId="7CCBB27B" w14:textId="77777777" w:rsidR="0002642C" w:rsidRDefault="0002642C">
      <w:pPr>
        <w:jc w:val="center"/>
      </w:pPr>
    </w:p>
    <w:tbl>
      <w:tblPr>
        <w:tblW w:w="0" w:type="auto"/>
        <w:tblInd w:w="-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6"/>
        <w:gridCol w:w="3276"/>
      </w:tblGrid>
      <w:tr w:rsidR="0002642C" w14:paraId="5C620578" w14:textId="77777777"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D8B0F12" w14:textId="77777777" w:rsidR="0002642C" w:rsidRDefault="00E84390">
            <w:pPr>
              <w:snapToGrid w:val="0"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Lecturer(s)</w:t>
            </w:r>
          </w:p>
        </w:tc>
        <w:tc>
          <w:tcPr>
            <w:tcW w:w="439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ACDFF14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Dr Mariusz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Dzięglewski</w:t>
            </w:r>
            <w:proofErr w:type="spellEnd"/>
          </w:p>
        </w:tc>
        <w:tc>
          <w:tcPr>
            <w:tcW w:w="327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5BBF7E6D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778BFAF" w14:textId="77777777" w:rsidR="0002642C" w:rsidRDefault="0002642C"/>
    <w:tbl>
      <w:tblPr>
        <w:tblW w:w="0" w:type="auto"/>
        <w:tblInd w:w="-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3278"/>
      </w:tblGrid>
      <w:tr w:rsidR="0002642C" w:rsidRPr="00E721FC" w14:paraId="1BE65BBF" w14:textId="77777777"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E5E766A" w14:textId="77777777" w:rsidR="0002642C" w:rsidRDefault="00E84390">
            <w:pPr>
              <w:snapToGrid w:val="0"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439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F1922D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Institute of Philosophy and Sociology</w:t>
            </w:r>
          </w:p>
        </w:tc>
        <w:tc>
          <w:tcPr>
            <w:tcW w:w="327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6681C819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F5A811B" w14:textId="77777777" w:rsidR="0002642C" w:rsidRPr="00E84390" w:rsidRDefault="0002642C">
      <w:pPr>
        <w:rPr>
          <w:lang w:val="en-GB"/>
        </w:rPr>
      </w:pPr>
    </w:p>
    <w:p w14:paraId="7E17D706" w14:textId="77777777" w:rsidR="0002642C" w:rsidRDefault="00E84390">
      <w:pPr>
        <w:rPr>
          <w:rFonts w:ascii="Arial" w:hAnsi="Arial" w:cs="Arial"/>
          <w:sz w:val="22"/>
          <w:szCs w:val="16"/>
          <w:lang w:val="en-US"/>
        </w:rPr>
      </w:pPr>
      <w:r>
        <w:rPr>
          <w:rFonts w:ascii="Arial" w:hAnsi="Arial" w:cs="Arial"/>
          <w:sz w:val="22"/>
          <w:szCs w:val="16"/>
          <w:lang w:val="en-US"/>
        </w:rPr>
        <w:t>Course objectives (learning outcomes)</w:t>
      </w:r>
    </w:p>
    <w:p w14:paraId="73A108DF" w14:textId="77777777" w:rsidR="0002642C" w:rsidRDefault="0002642C">
      <w:pPr>
        <w:rPr>
          <w:rFonts w:ascii="Arial" w:hAnsi="Arial" w:cs="Arial"/>
          <w:sz w:val="22"/>
          <w:szCs w:val="16"/>
          <w:lang w:val="en-US"/>
        </w:rPr>
      </w:pPr>
    </w:p>
    <w:tbl>
      <w:tblPr>
        <w:tblW w:w="0" w:type="auto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02642C" w:rsidRPr="00E721FC" w14:paraId="02E639D6" w14:textId="77777777">
        <w:trPr>
          <w:trHeight w:val="1365"/>
        </w:trPr>
        <w:tc>
          <w:tcPr>
            <w:tcW w:w="9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DE516B" w14:textId="77777777" w:rsidR="0002642C" w:rsidRPr="00E84390" w:rsidRDefault="00E84390">
            <w:pPr>
              <w:tabs>
                <w:tab w:val="left" w:pos="0"/>
                <w:tab w:val="left" w:pos="1440"/>
                <w:tab w:val="right" w:pos="8640"/>
              </w:tabs>
              <w:jc w:val="both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course is the continuation of the first part of Cultural Studies (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Reading Cultural Texts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). In this part we focus on issues of identity in its individual (gender) or collective (ethnic/national group) dimension. Cultural Studies sees the identity mainly as a social construct. Though, we will study the way these phenomena are constructed in various historical and social contexts. During the classes students will become familiar with such concepts as: hybrid identity, transnationalism, gender, ‘third culture kids’ and will have opportunity to apply this concepts in their own practical activities in class as well as in their final project: recording their own ‘ID narrative’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</w:tr>
    </w:tbl>
    <w:p w14:paraId="5545708D" w14:textId="77777777" w:rsidR="0002642C" w:rsidRPr="00E84390" w:rsidRDefault="0002642C">
      <w:pPr>
        <w:rPr>
          <w:lang w:val="en-GB"/>
        </w:rPr>
      </w:pPr>
    </w:p>
    <w:p w14:paraId="63FBB8B3" w14:textId="77777777" w:rsidR="0002642C" w:rsidRDefault="0002642C">
      <w:pPr>
        <w:rPr>
          <w:rFonts w:ascii="Arial" w:hAnsi="Arial" w:cs="Arial"/>
          <w:sz w:val="22"/>
          <w:szCs w:val="16"/>
          <w:lang w:val="en-US"/>
        </w:rPr>
      </w:pPr>
    </w:p>
    <w:p w14:paraId="4AE995F3" w14:textId="77777777" w:rsidR="0002642C" w:rsidRDefault="00E84390">
      <w:pPr>
        <w:rPr>
          <w:rFonts w:ascii="Arial" w:hAnsi="Arial" w:cs="Arial"/>
          <w:sz w:val="22"/>
          <w:szCs w:val="16"/>
        </w:rPr>
      </w:pPr>
      <w:proofErr w:type="spellStart"/>
      <w:r>
        <w:rPr>
          <w:rFonts w:ascii="Arial" w:hAnsi="Arial" w:cs="Arial"/>
          <w:sz w:val="22"/>
          <w:szCs w:val="16"/>
          <w:lang w:val="en-US"/>
        </w:rPr>
        <w:t>Prerequis</w:t>
      </w:r>
      <w:r>
        <w:rPr>
          <w:rFonts w:ascii="Arial" w:hAnsi="Arial" w:cs="Arial"/>
          <w:sz w:val="22"/>
          <w:szCs w:val="16"/>
        </w:rPr>
        <w:t>ites</w:t>
      </w:r>
      <w:proofErr w:type="spellEnd"/>
    </w:p>
    <w:p w14:paraId="7E2A6CD5" w14:textId="77777777" w:rsidR="0002642C" w:rsidRDefault="0002642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16"/>
      </w:tblGrid>
      <w:tr w:rsidR="0002642C" w14:paraId="4B5CFF16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C9E1440" w14:textId="77777777" w:rsidR="0002642C" w:rsidRDefault="00E84390">
            <w:pPr>
              <w:snapToGrid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771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77BB23F" w14:textId="77777777" w:rsidR="0002642C" w:rsidRDefault="00E84390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7F71C9F0" w14:textId="77777777" w:rsidR="0002642C" w:rsidRDefault="0002642C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2642C" w14:paraId="213531E7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9B2D56B" w14:textId="77777777" w:rsidR="0002642C" w:rsidRDefault="00E84390">
            <w:pPr>
              <w:snapToGrid w:val="0"/>
              <w:jc w:val="center"/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771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CB24F52" w14:textId="77777777" w:rsidR="0002642C" w:rsidRDefault="00E84390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0F99FABF" w14:textId="77777777" w:rsidR="0002642C" w:rsidRDefault="0002642C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2642C" w14:paraId="61FEB454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0C82D75" w14:textId="77777777" w:rsidR="0002642C" w:rsidRDefault="00E84390">
            <w:pPr>
              <w:snapToGrid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</w:p>
        </w:tc>
        <w:tc>
          <w:tcPr>
            <w:tcW w:w="771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A84A05E" w14:textId="77777777" w:rsidR="0002642C" w:rsidRDefault="00E84390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7D091F32" w14:textId="77777777" w:rsidR="0002642C" w:rsidRDefault="0002642C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358DB67" w14:textId="77777777" w:rsidR="0002642C" w:rsidRDefault="0002642C">
      <w:pPr>
        <w:rPr>
          <w:rFonts w:ascii="Arial" w:hAnsi="Arial" w:cs="Arial"/>
          <w:sz w:val="22"/>
          <w:szCs w:val="14"/>
        </w:rPr>
      </w:pPr>
    </w:p>
    <w:p w14:paraId="02E5AC94" w14:textId="77777777" w:rsidR="0002642C" w:rsidRDefault="0002642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2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179"/>
        <w:gridCol w:w="955"/>
        <w:gridCol w:w="284"/>
        <w:gridCol w:w="850"/>
        <w:gridCol w:w="378"/>
        <w:gridCol w:w="756"/>
        <w:gridCol w:w="301"/>
      </w:tblGrid>
      <w:tr w:rsidR="0002642C" w14:paraId="4DD6EC70" w14:textId="77777777">
        <w:trPr>
          <w:trHeight w:hRule="exact" w:val="424"/>
        </w:trPr>
        <w:tc>
          <w:tcPr>
            <w:tcW w:w="965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01A590C" w14:textId="328611E4" w:rsidR="0002642C" w:rsidRDefault="00E84390">
            <w:pPr>
              <w:pStyle w:val="Zawartotabeli"/>
              <w:snapToGrid w:val="0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  <w:r w:rsidR="00E721F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E721FC">
              <w:rPr>
                <w:rFonts w:ascii="Arial" w:hAnsi="Arial" w:cs="Arial"/>
                <w:sz w:val="20"/>
                <w:szCs w:val="20"/>
              </w:rPr>
              <w:t>regular</w:t>
            </w:r>
            <w:proofErr w:type="spellEnd"/>
            <w:r w:rsidR="00E721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721FC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="00E721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642C" w14:paraId="4E875AE4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93975AE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C646AC1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2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3604015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</w:p>
        </w:tc>
      </w:tr>
      <w:tr w:rsidR="0002642C" w14:paraId="33757D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9B6C102" w14:textId="77777777" w:rsidR="0002642C" w:rsidRDefault="0002642C">
            <w:pPr>
              <w:snapToGrid w:val="0"/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3173DF2" w14:textId="77777777" w:rsidR="0002642C" w:rsidRDefault="0002642C">
            <w:pPr>
              <w:snapToGrid w:val="0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DB04D0D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large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88A0ED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92563A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 (small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02B668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71C6442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 (Lab)</w:t>
            </w:r>
          </w:p>
        </w:tc>
        <w:tc>
          <w:tcPr>
            <w:tcW w:w="17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73F25D3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C9ACE11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Seminar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9E047C8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2E82D2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 (Project) </w:t>
            </w:r>
          </w:p>
        </w:tc>
        <w:tc>
          <w:tcPr>
            <w:tcW w:w="37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F5D90DA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38AB784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30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BAEFEE5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42C" w14:paraId="77FA07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D49FCF6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hours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7A4288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F573B18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82B978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21221CF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CA7EDB8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1579ECA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9735113" w14:textId="77777777" w:rsidR="0002642C" w:rsidRDefault="0002642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A633A" w14:textId="77777777" w:rsidR="0002642C" w:rsidRDefault="0002642C">
      <w:pPr>
        <w:pStyle w:val="Zawartotabeli"/>
        <w:rPr>
          <w:rFonts w:ascii="Arial" w:hAnsi="Arial" w:cs="Arial"/>
          <w:sz w:val="22"/>
          <w:szCs w:val="16"/>
        </w:rPr>
      </w:pPr>
    </w:p>
    <w:p w14:paraId="12F703B6" w14:textId="77777777" w:rsidR="00E721FC" w:rsidRDefault="00E721FC" w:rsidP="00E721F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2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179"/>
        <w:gridCol w:w="955"/>
        <w:gridCol w:w="284"/>
        <w:gridCol w:w="850"/>
        <w:gridCol w:w="378"/>
        <w:gridCol w:w="756"/>
        <w:gridCol w:w="301"/>
      </w:tblGrid>
      <w:tr w:rsidR="00E721FC" w:rsidRPr="00E721FC" w14:paraId="656E4CE6" w14:textId="77777777" w:rsidTr="00B11421">
        <w:trPr>
          <w:trHeight w:hRule="exact" w:val="424"/>
        </w:trPr>
        <w:tc>
          <w:tcPr>
            <w:tcW w:w="9657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29560E46" w14:textId="69FBD477" w:rsidR="00E721FC" w:rsidRPr="00E721FC" w:rsidRDefault="00E721FC" w:rsidP="00B11421">
            <w:pPr>
              <w:pStyle w:val="Zawartotabeli"/>
              <w:snapToGrid w:val="0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1FC">
              <w:rPr>
                <w:rFonts w:ascii="Arial" w:hAnsi="Arial" w:cs="Arial"/>
                <w:sz w:val="20"/>
                <w:szCs w:val="20"/>
                <w:lang w:val="en-GB"/>
              </w:rPr>
              <w:t>Course organization</w:t>
            </w:r>
            <w:r w:rsidRPr="00E721FC">
              <w:rPr>
                <w:rFonts w:ascii="Arial" w:hAnsi="Arial" w:cs="Arial"/>
                <w:sz w:val="20"/>
                <w:szCs w:val="20"/>
                <w:lang w:val="en-GB"/>
              </w:rPr>
              <w:t xml:space="preserve"> – part-time stud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ents </w:t>
            </w:r>
          </w:p>
        </w:tc>
      </w:tr>
      <w:tr w:rsidR="00E721FC" w14:paraId="7126D79F" w14:textId="77777777" w:rsidTr="00B11421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388F99B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8DC9848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21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1CAEE5A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</w:p>
        </w:tc>
      </w:tr>
      <w:tr w:rsidR="00E721FC" w14:paraId="721550F7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A2AE24C" w14:textId="77777777" w:rsidR="00E721FC" w:rsidRDefault="00E721FC" w:rsidP="00B11421">
            <w:pPr>
              <w:snapToGrid w:val="0"/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388168" w14:textId="77777777" w:rsidR="00E721FC" w:rsidRDefault="00E721FC" w:rsidP="00B11421">
            <w:pPr>
              <w:snapToGrid w:val="0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C9601A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large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C789FCE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A97A449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 (small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686677F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D3D7151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 (Lab)</w:t>
            </w:r>
          </w:p>
        </w:tc>
        <w:tc>
          <w:tcPr>
            <w:tcW w:w="17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3105C5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B72C22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Seminar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624FED4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450C2D6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 (Project) </w:t>
            </w:r>
          </w:p>
        </w:tc>
        <w:tc>
          <w:tcPr>
            <w:tcW w:w="378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94F71F1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7D32176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30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9B78FD2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FC" w14:paraId="4F5FE0FA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6D0003A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4A58B82" w14:textId="57470218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E5DD48" w14:textId="56746846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666F1F1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65C7BC6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0530DF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330C1F6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08DEA3D" w14:textId="77777777" w:rsidR="00E721FC" w:rsidRDefault="00E721FC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6C737" w14:textId="77777777" w:rsidR="00E721FC" w:rsidRDefault="00E721FC" w:rsidP="00E721FC">
      <w:pPr>
        <w:pStyle w:val="Zawartotabeli"/>
        <w:rPr>
          <w:rFonts w:ascii="Arial" w:hAnsi="Arial" w:cs="Arial"/>
          <w:sz w:val="22"/>
          <w:szCs w:val="16"/>
        </w:rPr>
      </w:pPr>
    </w:p>
    <w:p w14:paraId="66242046" w14:textId="77777777" w:rsidR="00E721FC" w:rsidRDefault="00E721FC">
      <w:pPr>
        <w:pStyle w:val="Zawartotabeli"/>
        <w:rPr>
          <w:rFonts w:ascii="Arial" w:hAnsi="Arial" w:cs="Arial"/>
          <w:sz w:val="22"/>
          <w:szCs w:val="16"/>
        </w:rPr>
      </w:pPr>
    </w:p>
    <w:p w14:paraId="19BD8CDA" w14:textId="77777777" w:rsidR="0002642C" w:rsidRDefault="00E84390">
      <w:pPr>
        <w:rPr>
          <w:rFonts w:ascii="Arial" w:hAnsi="Arial" w:cs="Arial"/>
          <w:sz w:val="22"/>
          <w:szCs w:val="16"/>
        </w:rPr>
      </w:pPr>
      <w:proofErr w:type="spellStart"/>
      <w:r>
        <w:rPr>
          <w:rFonts w:ascii="Arial" w:hAnsi="Arial" w:cs="Arial"/>
          <w:sz w:val="22"/>
          <w:szCs w:val="14"/>
        </w:rPr>
        <w:t>Teaching</w:t>
      </w:r>
      <w:proofErr w:type="spellEnd"/>
      <w:r>
        <w:rPr>
          <w:rFonts w:ascii="Arial" w:hAnsi="Arial" w:cs="Arial"/>
          <w:sz w:val="22"/>
          <w:szCs w:val="14"/>
        </w:rPr>
        <w:t xml:space="preserve"> </w:t>
      </w:r>
      <w:proofErr w:type="spellStart"/>
      <w:r>
        <w:rPr>
          <w:rFonts w:ascii="Arial" w:hAnsi="Arial" w:cs="Arial"/>
          <w:sz w:val="22"/>
          <w:szCs w:val="14"/>
        </w:rPr>
        <w:t>methods</w:t>
      </w:r>
      <w:proofErr w:type="spellEnd"/>
      <w:r>
        <w:rPr>
          <w:rFonts w:ascii="Arial" w:hAnsi="Arial" w:cs="Arial"/>
          <w:sz w:val="22"/>
          <w:szCs w:val="14"/>
        </w:rPr>
        <w:t>:</w:t>
      </w:r>
    </w:p>
    <w:p w14:paraId="17D14670" w14:textId="77777777" w:rsidR="0002642C" w:rsidRDefault="0002642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02642C" w:rsidRPr="00E721FC" w14:paraId="1CE6B8DC" w14:textId="77777777">
        <w:trPr>
          <w:trHeight w:val="1920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87F5DA" w14:textId="77777777" w:rsidR="0002642C" w:rsidRDefault="00E8439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course consists of 8 two-hours lectures (16 hours) and 8 two-hours classes (16 hours). The course is designed in a blended learning format with e-learning platform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Ecourse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) in use as a support in the process of learning. </w:t>
            </w:r>
          </w:p>
          <w:p w14:paraId="44EF8AC1" w14:textId="77777777" w:rsidR="0002642C" w:rsidRDefault="0002642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34AAF0CB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Lectures:</w:t>
            </w:r>
          </w:p>
          <w:p w14:paraId="1CE47E0E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main issues of each lecture will be presented in Power Point format. The lecture in Power Point file will be available on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Ecourse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platform. Every student is expected to download the presentation, print it out before the lecture and fill it with his own notes during the lecture. Students will find a ‘Check Yourself’ quiz which can be accessed through the platform. Quiz is voluntary, consists of 5 simple questions covering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lecture and is designed to check your knowledge after the lecture. The quiz is not treated as a part of Continuous Assessment. Students are encouraged to watch video attached to lectures as an extra material (experts, case studies) which can widen the understanding of the topic.</w:t>
            </w:r>
          </w:p>
          <w:p w14:paraId="04C49E8E" w14:textId="77777777" w:rsidR="0002642C" w:rsidRDefault="0002642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035B4C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4390">
              <w:rPr>
                <w:rFonts w:ascii="Arial" w:hAnsi="Arial" w:cs="Arial"/>
                <w:i/>
                <w:sz w:val="20"/>
                <w:szCs w:val="20"/>
                <w:lang w:val="en-GB"/>
              </w:rPr>
              <w:t>Classes:</w:t>
            </w:r>
          </w:p>
          <w:p w14:paraId="49D21E71" w14:textId="77777777" w:rsidR="0002642C" w:rsidRPr="00E84390" w:rsidRDefault="00E84390">
            <w:pPr>
              <w:jc w:val="both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For each class students are expected to be well-prepared. They are expected to download and print out all the handouts (readings, photos,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) for each class. Students are expected to read all the texts for each class (about 5-10 pages) and have all the handouts in a hard copy during the class. There is an emphasis on audiovisual materials to be presented during the course (movies, photos) as a case studies. These materials and readings are the starting points for a discussion and practical exercises in the class. Students are provided with extra activities (dictionary, wiki, forum, exercise) which are voluntary and will be treated as a part of continuous assessment at the end of the course.</w:t>
            </w:r>
          </w:p>
        </w:tc>
      </w:tr>
    </w:tbl>
    <w:p w14:paraId="5A4E814C" w14:textId="77777777" w:rsidR="0002642C" w:rsidRPr="00E84390" w:rsidRDefault="0002642C">
      <w:pPr>
        <w:pStyle w:val="Zawartotabeli"/>
        <w:rPr>
          <w:lang w:val="en-GB"/>
        </w:rPr>
      </w:pPr>
    </w:p>
    <w:p w14:paraId="10C3355A" w14:textId="77777777" w:rsidR="0002642C" w:rsidRDefault="0002642C">
      <w:pPr>
        <w:pStyle w:val="Zawartotabeli"/>
        <w:rPr>
          <w:rFonts w:ascii="Arial" w:hAnsi="Arial" w:cs="Arial"/>
          <w:sz w:val="22"/>
          <w:szCs w:val="16"/>
          <w:lang w:val="en-US"/>
        </w:rPr>
      </w:pPr>
    </w:p>
    <w:p w14:paraId="2BE27106" w14:textId="77777777" w:rsidR="0002642C" w:rsidRDefault="00E84390">
      <w:pPr>
        <w:pStyle w:val="Zawartotabeli"/>
        <w:rPr>
          <w:rFonts w:ascii="Arial" w:hAnsi="Arial" w:cs="Arial"/>
          <w:sz w:val="22"/>
          <w:szCs w:val="16"/>
        </w:rPr>
      </w:pPr>
      <w:proofErr w:type="spellStart"/>
      <w:r>
        <w:rPr>
          <w:rFonts w:ascii="Arial" w:hAnsi="Arial" w:cs="Arial"/>
          <w:sz w:val="22"/>
          <w:szCs w:val="16"/>
        </w:rPr>
        <w:t>Assessment</w:t>
      </w:r>
      <w:proofErr w:type="spellEnd"/>
      <w:r>
        <w:rPr>
          <w:rFonts w:ascii="Arial" w:hAnsi="Arial" w:cs="Arial"/>
          <w:sz w:val="22"/>
          <w:szCs w:val="16"/>
        </w:rPr>
        <w:t xml:space="preserve"> </w:t>
      </w:r>
      <w:proofErr w:type="spellStart"/>
      <w:r>
        <w:rPr>
          <w:rFonts w:ascii="Arial" w:hAnsi="Arial" w:cs="Arial"/>
          <w:sz w:val="22"/>
          <w:szCs w:val="16"/>
        </w:rPr>
        <w:t>methods</w:t>
      </w:r>
      <w:proofErr w:type="spellEnd"/>
      <w:r>
        <w:rPr>
          <w:rFonts w:ascii="Arial" w:hAnsi="Arial" w:cs="Arial"/>
          <w:sz w:val="22"/>
          <w:szCs w:val="16"/>
        </w:rPr>
        <w:t>:</w:t>
      </w:r>
    </w:p>
    <w:p w14:paraId="2916B6EB" w14:textId="77777777" w:rsidR="0002642C" w:rsidRDefault="0002642C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843"/>
        <w:gridCol w:w="785"/>
        <w:gridCol w:w="666"/>
        <w:gridCol w:w="666"/>
        <w:gridCol w:w="666"/>
        <w:gridCol w:w="666"/>
        <w:gridCol w:w="666"/>
        <w:gridCol w:w="666"/>
        <w:gridCol w:w="666"/>
        <w:gridCol w:w="673"/>
        <w:gridCol w:w="830"/>
        <w:gridCol w:w="610"/>
        <w:gridCol w:w="720"/>
        <w:gridCol w:w="568"/>
      </w:tblGrid>
      <w:tr w:rsidR="0002642C" w14:paraId="06B152D3" w14:textId="77777777">
        <w:trPr>
          <w:cantSplit/>
          <w:trHeight w:val="1616"/>
        </w:trPr>
        <w:tc>
          <w:tcPr>
            <w:tcW w:w="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677410A3" w14:textId="77777777" w:rsidR="0002642C" w:rsidRDefault="0002642C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6AAF310D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5DF9B8E1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Didactic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games</w:t>
            </w:r>
            <w:proofErr w:type="spellEnd"/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503684ED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schools</w:t>
            </w:r>
            <w:proofErr w:type="spellEnd"/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5696553C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Field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6050B02B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Laboratory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12834581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Individual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510E1E35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25A9C7E0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participation</w:t>
            </w:r>
            <w:proofErr w:type="spellEnd"/>
          </w:p>
        </w:tc>
        <w:tc>
          <w:tcPr>
            <w:tcW w:w="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7D659012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Student’s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</w:p>
        </w:tc>
        <w:tc>
          <w:tcPr>
            <w:tcW w:w="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3C550F7B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essay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263FAEC9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74212B56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378865AC" w14:textId="77777777" w:rsidR="0002642C" w:rsidRDefault="00E84390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</w:p>
        </w:tc>
      </w:tr>
      <w:tr w:rsidR="0002642C" w14:paraId="7975C132" w14:textId="77777777">
        <w:trPr>
          <w:cantSplit/>
          <w:trHeight w:val="1134"/>
        </w:trPr>
        <w:tc>
          <w:tcPr>
            <w:tcW w:w="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tbRlV"/>
            <w:vAlign w:val="center"/>
          </w:tcPr>
          <w:p w14:paraId="5BC32C3C" w14:textId="77777777" w:rsidR="0002642C" w:rsidRDefault="0002642C">
            <w:pPr>
              <w:pStyle w:val="Tekstdymka1"/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6984F3DA" w14:textId="77777777" w:rsidR="0002642C" w:rsidRDefault="00E84390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2C8BEE47" w14:textId="77777777" w:rsidR="0002642C" w:rsidRDefault="0002642C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0F40EBD8" w14:textId="77777777" w:rsidR="0002642C" w:rsidRDefault="0002642C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48A46CF9" w14:textId="77777777" w:rsidR="0002642C" w:rsidRDefault="0002642C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66F56C70" w14:textId="77777777" w:rsidR="0002642C" w:rsidRDefault="0002642C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704DF8AD" w14:textId="77777777" w:rsidR="0002642C" w:rsidRDefault="00E84390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7A49E594" w14:textId="77777777" w:rsidR="0002642C" w:rsidRDefault="0002642C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7FF94BC8" w14:textId="77777777" w:rsidR="0002642C" w:rsidRDefault="00E84390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19DD42F3" w14:textId="77777777" w:rsidR="0002642C" w:rsidRDefault="00E84390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585E3187" w14:textId="77777777" w:rsidR="0002642C" w:rsidRDefault="0002642C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309EEC4C" w14:textId="77777777" w:rsidR="0002642C" w:rsidRDefault="0002642C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extDirection w:val="tbRlV"/>
          </w:tcPr>
          <w:p w14:paraId="5BDBFACC" w14:textId="77777777" w:rsidR="0002642C" w:rsidRDefault="00E84390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extDirection w:val="tbRlV"/>
          </w:tcPr>
          <w:p w14:paraId="21314020" w14:textId="77777777" w:rsidR="0002642C" w:rsidRDefault="0002642C">
            <w:pPr>
              <w:snapToGri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81967F" w14:textId="77777777" w:rsidR="0002642C" w:rsidRDefault="0002642C">
      <w:pPr>
        <w:pStyle w:val="Zawartotabeli"/>
      </w:pPr>
    </w:p>
    <w:p w14:paraId="47775F60" w14:textId="77777777" w:rsidR="0002642C" w:rsidRDefault="0002642C">
      <w:pPr>
        <w:pStyle w:val="Zawartotabeli"/>
        <w:rPr>
          <w:rFonts w:ascii="Arial" w:hAnsi="Arial" w:cs="Arial"/>
          <w:sz w:val="22"/>
          <w:szCs w:val="16"/>
        </w:rPr>
      </w:pPr>
    </w:p>
    <w:p w14:paraId="4992CC87" w14:textId="77777777" w:rsidR="0002642C" w:rsidRDefault="0002642C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2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16"/>
      </w:tblGrid>
      <w:tr w:rsidR="0002642C" w14:paraId="1A7AF9A5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FBD2B0A" w14:textId="77777777" w:rsidR="0002642C" w:rsidRDefault="00E84390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position w:val="10"/>
                <w:sz w:val="20"/>
                <w:szCs w:val="20"/>
                <w:lang w:val="en-I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771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3728E9DD" w14:textId="77777777" w:rsidR="0002642C" w:rsidRDefault="00E84390">
            <w:pPr>
              <w:tabs>
                <w:tab w:val="left" w:pos="2490"/>
                <w:tab w:val="left" w:pos="6660"/>
              </w:tabs>
              <w:jc w:val="both"/>
              <w:rPr>
                <w:rFonts w:ascii="Arial" w:hAnsi="Arial" w:cs="Arial"/>
                <w:position w:val="10"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position w:val="10"/>
                <w:sz w:val="20"/>
                <w:szCs w:val="20"/>
                <w:lang w:val="en-IE"/>
              </w:rPr>
              <w:t xml:space="preserve">This module is assessed by three separate components: </w:t>
            </w:r>
          </w:p>
          <w:p w14:paraId="37A084D9" w14:textId="77777777" w:rsidR="0002642C" w:rsidRDefault="00E84390">
            <w:pPr>
              <w:tabs>
                <w:tab w:val="left" w:pos="2490"/>
                <w:tab w:val="left" w:pos="6660"/>
              </w:tabs>
              <w:jc w:val="both"/>
              <w:rPr>
                <w:rFonts w:ascii="Arial" w:hAnsi="Arial" w:cs="Arial"/>
                <w:position w:val="10"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position w:val="10"/>
                <w:sz w:val="20"/>
                <w:szCs w:val="20"/>
                <w:lang w:val="en-IE"/>
              </w:rPr>
              <w:t>1. continuous assessment in the form of extra points for class activities and on-line tasks (30%) (max 30 points)</w:t>
            </w:r>
          </w:p>
          <w:p w14:paraId="24155033" w14:textId="77777777" w:rsidR="0002642C" w:rsidRDefault="00E84390">
            <w:pPr>
              <w:tabs>
                <w:tab w:val="left" w:pos="2490"/>
                <w:tab w:val="left" w:pos="6660"/>
              </w:tabs>
              <w:jc w:val="both"/>
              <w:rPr>
                <w:rFonts w:ascii="Arial" w:hAnsi="Arial" w:cs="Arial"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position w:val="10"/>
                <w:sz w:val="20"/>
                <w:szCs w:val="20"/>
                <w:lang w:val="en-IE"/>
              </w:rPr>
              <w:t>2. student’s project that will be presented in class 7 and 8. Project outline will be provided in a third class (50%) (max 50 points)</w:t>
            </w:r>
          </w:p>
          <w:p w14:paraId="60B2866C" w14:textId="77777777" w:rsidR="0002642C" w:rsidRDefault="00E84390">
            <w:pPr>
              <w:tabs>
                <w:tab w:val="left" w:pos="2490"/>
                <w:tab w:val="left" w:pos="666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IE"/>
              </w:rPr>
              <w:t>3. student’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 presence on lectures and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classess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(the absence is accepted only once) (20%) (max. 20 points)</w:t>
            </w:r>
          </w:p>
          <w:p w14:paraId="3BDBCB88" w14:textId="77777777" w:rsidR="0002642C" w:rsidRDefault="0002642C">
            <w:pPr>
              <w:tabs>
                <w:tab w:val="left" w:pos="2490"/>
                <w:tab w:val="left" w:pos="666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1BE244" w14:textId="77777777" w:rsidR="0002642C" w:rsidRDefault="00E84390">
            <w:pPr>
              <w:tabs>
                <w:tab w:val="left" w:pos="2490"/>
                <w:tab w:val="left" w:pos="666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Final Grade</w:t>
            </w:r>
          </w:p>
          <w:p w14:paraId="1AC43DF2" w14:textId="77777777" w:rsidR="0002642C" w:rsidRDefault="00E84390">
            <w:pPr>
              <w:tabs>
                <w:tab w:val="left" w:pos="2490"/>
                <w:tab w:val="left" w:pos="666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Points:</w:t>
            </w:r>
          </w:p>
          <w:p w14:paraId="75892E79" w14:textId="77777777" w:rsidR="0002642C" w:rsidRDefault="00E84390">
            <w:pPr>
              <w:tabs>
                <w:tab w:val="left" w:pos="2490"/>
                <w:tab w:val="left" w:pos="666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86 -100   A (5)</w:t>
            </w:r>
          </w:p>
          <w:p w14:paraId="2AC8D5B0" w14:textId="77777777" w:rsidR="0002642C" w:rsidRDefault="00E84390">
            <w:pPr>
              <w:tabs>
                <w:tab w:val="left" w:pos="2490"/>
                <w:tab w:val="left" w:pos="666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70-85      B (4)</w:t>
            </w:r>
          </w:p>
          <w:p w14:paraId="75BA92FB" w14:textId="77777777" w:rsidR="0002642C" w:rsidRDefault="00E84390">
            <w:pPr>
              <w:tabs>
                <w:tab w:val="left" w:pos="2490"/>
                <w:tab w:val="left" w:pos="666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55-69      C (3)</w:t>
            </w:r>
          </w:p>
          <w:p w14:paraId="11A5A36B" w14:textId="77777777" w:rsidR="0002642C" w:rsidRDefault="00E84390">
            <w:pPr>
              <w:tabs>
                <w:tab w:val="left" w:pos="2490"/>
                <w:tab w:val="left" w:pos="6660"/>
              </w:tabs>
              <w:jc w:val="both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0-54        D (2)</w:t>
            </w:r>
          </w:p>
        </w:tc>
      </w:tr>
    </w:tbl>
    <w:p w14:paraId="7AC7E423" w14:textId="77777777" w:rsidR="0002642C" w:rsidRDefault="0002642C"/>
    <w:p w14:paraId="61881191" w14:textId="77777777" w:rsidR="0002642C" w:rsidRDefault="0002642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2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16"/>
      </w:tblGrid>
      <w:tr w:rsidR="0002642C" w14:paraId="66E5791D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C16D572" w14:textId="77777777" w:rsidR="0002642C" w:rsidRDefault="00E84390">
            <w:pPr>
              <w:snapToGrid w:val="0"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Comments</w:t>
            </w:r>
            <w:proofErr w:type="spellEnd"/>
          </w:p>
        </w:tc>
        <w:tc>
          <w:tcPr>
            <w:tcW w:w="771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53075439" w14:textId="77777777" w:rsidR="0002642C" w:rsidRDefault="0002642C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5B36F86E" w14:textId="77777777" w:rsidR="0002642C" w:rsidRDefault="00E84390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</w:tbl>
    <w:p w14:paraId="0C642F9F" w14:textId="77777777" w:rsidR="0002642C" w:rsidRDefault="0002642C"/>
    <w:p w14:paraId="7A839151" w14:textId="77777777" w:rsidR="0002642C" w:rsidRDefault="0002642C">
      <w:pPr>
        <w:rPr>
          <w:rFonts w:ascii="Arial" w:hAnsi="Arial" w:cs="Arial"/>
          <w:sz w:val="22"/>
          <w:szCs w:val="16"/>
        </w:rPr>
      </w:pPr>
    </w:p>
    <w:p w14:paraId="246AD739" w14:textId="77777777" w:rsidR="0002642C" w:rsidRDefault="0002642C">
      <w:pPr>
        <w:rPr>
          <w:rFonts w:ascii="Arial" w:hAnsi="Arial" w:cs="Arial"/>
          <w:sz w:val="22"/>
          <w:szCs w:val="22"/>
        </w:rPr>
      </w:pPr>
    </w:p>
    <w:p w14:paraId="31CF76DB" w14:textId="77777777" w:rsidR="0002642C" w:rsidRDefault="0002642C">
      <w:pPr>
        <w:rPr>
          <w:rFonts w:ascii="Arial" w:hAnsi="Arial" w:cs="Arial"/>
          <w:sz w:val="22"/>
          <w:szCs w:val="22"/>
        </w:rPr>
      </w:pPr>
    </w:p>
    <w:p w14:paraId="7F0F7E88" w14:textId="77777777" w:rsidR="0002642C" w:rsidRDefault="0002642C">
      <w:pPr>
        <w:rPr>
          <w:rFonts w:ascii="Arial" w:hAnsi="Arial" w:cs="Arial"/>
          <w:sz w:val="22"/>
          <w:szCs w:val="22"/>
        </w:rPr>
      </w:pPr>
    </w:p>
    <w:p w14:paraId="1076127B" w14:textId="77777777" w:rsidR="0002642C" w:rsidRDefault="0002642C">
      <w:pPr>
        <w:rPr>
          <w:rFonts w:ascii="Arial" w:hAnsi="Arial" w:cs="Arial"/>
          <w:sz w:val="22"/>
          <w:szCs w:val="22"/>
        </w:rPr>
      </w:pPr>
    </w:p>
    <w:p w14:paraId="1CAFC1E4" w14:textId="77777777" w:rsidR="0002642C" w:rsidRDefault="0002642C">
      <w:pPr>
        <w:rPr>
          <w:rFonts w:ascii="Arial" w:hAnsi="Arial" w:cs="Arial"/>
          <w:sz w:val="22"/>
          <w:szCs w:val="22"/>
        </w:rPr>
      </w:pPr>
    </w:p>
    <w:p w14:paraId="1DAE0D10" w14:textId="77777777" w:rsidR="0002642C" w:rsidRDefault="00E8439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 xml:space="preserve">Course </w:t>
      </w:r>
      <w:proofErr w:type="spellStart"/>
      <w:r>
        <w:rPr>
          <w:rFonts w:ascii="Arial" w:hAnsi="Arial" w:cs="Arial"/>
          <w:sz w:val="22"/>
          <w:szCs w:val="22"/>
        </w:rPr>
        <w:t>content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topic</w:t>
      </w:r>
      <w:proofErr w:type="spellEnd"/>
      <w:r>
        <w:rPr>
          <w:rFonts w:ascii="Arial" w:hAnsi="Arial" w:cs="Arial"/>
          <w:sz w:val="22"/>
          <w:szCs w:val="22"/>
        </w:rPr>
        <w:t xml:space="preserve"> list)</w:t>
      </w:r>
    </w:p>
    <w:p w14:paraId="3937F25C" w14:textId="77777777" w:rsidR="0002642C" w:rsidRDefault="0002642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02642C" w14:paraId="47C783E2" w14:textId="77777777">
        <w:trPr>
          <w:trHeight w:val="1136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597B34" w14:textId="77777777" w:rsidR="0002642C" w:rsidRDefault="00E84390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  <w:t>Lectures (15hrs, 7 lectures)</w:t>
            </w:r>
          </w:p>
          <w:p w14:paraId="2DD8542E" w14:textId="77777777" w:rsidR="0002642C" w:rsidRDefault="0002642C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US"/>
              </w:rPr>
            </w:pPr>
          </w:p>
          <w:p w14:paraId="5F223DD4" w14:textId="77777777" w:rsidR="0002642C" w:rsidRDefault="00E8439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Lecture 1. Issues of Subjectivity and Identity </w:t>
            </w:r>
          </w:p>
          <w:p w14:paraId="3FAAD50B" w14:textId="77777777" w:rsidR="0002642C" w:rsidRPr="00E84390" w:rsidRDefault="00E8439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Key issues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definitions of identity and subjectivity, ‘broken’ identity, agency and politics of identity</w:t>
            </w:r>
          </w:p>
          <w:p w14:paraId="17BBD779" w14:textId="77777777" w:rsidR="0002642C" w:rsidRPr="00E84390" w:rsidRDefault="0002642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1C45F395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Lecture 2. Sex, Gender and Identity</w:t>
            </w:r>
          </w:p>
          <w:p w14:paraId="429E5E91" w14:textId="77777777" w:rsidR="0002642C" w:rsidRPr="00E84390" w:rsidRDefault="00E8439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Key issues: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cultured body, feminism, sex and gender, sexed subjects, gender and representations (male/female)</w:t>
            </w:r>
          </w:p>
          <w:p w14:paraId="509EA66F" w14:textId="77777777" w:rsidR="0002642C" w:rsidRPr="00E84390" w:rsidRDefault="0002642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7163CE48" w14:textId="77777777" w:rsidR="0002642C" w:rsidRDefault="00E8439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Lecture 3. Race and Ethnicity</w:t>
            </w:r>
          </w:p>
          <w:p w14:paraId="1CED97D2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Key issues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‘race formation’, ethnicity and ethnic pluralism, representations of race and ethnicity</w:t>
            </w:r>
          </w:p>
          <w:p w14:paraId="61E609E9" w14:textId="77777777" w:rsidR="0002642C" w:rsidRDefault="0002642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171971" w14:textId="77777777" w:rsidR="0002642C" w:rsidRDefault="00E8439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Lecture 4. Nation-state, Nationalism and National Identity</w:t>
            </w:r>
          </w:p>
          <w:p w14:paraId="7E37F02B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Key issues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 concept of national identity, civic- and ethno-nationalism, ‘imagined communities’, diaspora, hybrid identities</w:t>
            </w:r>
          </w:p>
          <w:p w14:paraId="4305A5F2" w14:textId="77777777" w:rsidR="0002642C" w:rsidRDefault="0002642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BC065C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4390">
              <w:rPr>
                <w:rFonts w:ascii="Arial" w:hAnsi="Arial" w:cs="Arial"/>
                <w:i/>
                <w:sz w:val="20"/>
                <w:szCs w:val="20"/>
                <w:lang w:val="en-GB"/>
              </w:rPr>
              <w:t>Lecture 5. Postmodernism and Identity</w:t>
            </w:r>
          </w:p>
          <w:p w14:paraId="2A4CE245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Key issues: modern and postmodern knowledge, postmodern culture, postmodern understanding of Identity</w:t>
            </w:r>
          </w:p>
          <w:p w14:paraId="62914BA7" w14:textId="77777777" w:rsidR="0002642C" w:rsidRDefault="0002642C">
            <w:pPr>
              <w:widowControl/>
              <w:tabs>
                <w:tab w:val="left" w:pos="7275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1036A8" w14:textId="77777777" w:rsidR="0002642C" w:rsidRDefault="00E8439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Lecture 6.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Globalisation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and Troubled Identity</w:t>
            </w:r>
          </w:p>
          <w:p w14:paraId="380DC7F0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Key issues: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economy, technology and social class, global flows, the state and identity, new social movements</w:t>
            </w:r>
          </w:p>
          <w:p w14:paraId="03BC143D" w14:textId="77777777" w:rsidR="0002642C" w:rsidRDefault="0002642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6117AA" w14:textId="77777777" w:rsidR="0002642C" w:rsidRDefault="00E8439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Lecture 7. Summary of the Course</w:t>
            </w:r>
          </w:p>
          <w:p w14:paraId="64D5B4BD" w14:textId="77777777" w:rsidR="0002642C" w:rsidRDefault="0002642C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en-US"/>
              </w:rPr>
            </w:pPr>
          </w:p>
          <w:p w14:paraId="7583AAA5" w14:textId="77777777" w:rsidR="0002642C" w:rsidRDefault="0002642C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en-US"/>
              </w:rPr>
            </w:pPr>
          </w:p>
          <w:p w14:paraId="57368309" w14:textId="77777777" w:rsidR="0002642C" w:rsidRDefault="00E84390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en-US"/>
              </w:rPr>
              <w:t xml:space="preserve">Classes and reading (15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en-US"/>
              </w:rPr>
              <w:t>hrs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  <w:lang w:val="en-US"/>
              </w:rPr>
              <w:t>, 7 classes)</w:t>
            </w:r>
          </w:p>
          <w:p w14:paraId="614DDD4A" w14:textId="77777777" w:rsidR="0002642C" w:rsidRDefault="0002642C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</w:p>
          <w:p w14:paraId="032F44BE" w14:textId="77777777" w:rsidR="0002642C" w:rsidRDefault="00E8439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Class 1. Exhibiting masculinity and femininity </w:t>
            </w:r>
          </w:p>
          <w:p w14:paraId="476CCCDE" w14:textId="77777777" w:rsidR="0002642C" w:rsidRDefault="00E84390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 xml:space="preserve">Key issues: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conceptualising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 xml:space="preserve"> masculinity/femininity, discourses and representation, visual codes of masculinity/femininity</w:t>
            </w:r>
          </w:p>
          <w:p w14:paraId="33FC420F" w14:textId="77777777" w:rsidR="0002642C" w:rsidRDefault="0002642C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</w:p>
          <w:p w14:paraId="6F7F0905" w14:textId="77777777" w:rsidR="0002642C" w:rsidRDefault="00E8439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Class 2. The poetics of exhibiting other cultures (case study)</w:t>
            </w:r>
          </w:p>
          <w:p w14:paraId="778A0145" w14:textId="77777777" w:rsidR="0002642C" w:rsidRDefault="00E8439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Key issues: case study of ‘Paradise’: structure, the exhibit as artefact and the myth of ‘Paradise’</w:t>
            </w:r>
          </w:p>
          <w:p w14:paraId="045FA909" w14:textId="77777777" w:rsidR="0002642C" w:rsidRDefault="0002642C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</w:p>
          <w:p w14:paraId="64E46036" w14:textId="77777777" w:rsidR="0002642C" w:rsidRDefault="00E8439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Class 3. The politics of exhibiting other cultures</w:t>
            </w:r>
          </w:p>
          <w:p w14:paraId="284BDC53" w14:textId="77777777" w:rsidR="0002642C" w:rsidRDefault="00E84390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Key issues: knowledge and power, museum and the construction of cultural, colonial spectacles</w:t>
            </w:r>
          </w:p>
          <w:p w14:paraId="0150146D" w14:textId="77777777" w:rsidR="0002642C" w:rsidRDefault="0002642C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</w:p>
          <w:p w14:paraId="782C5CE1" w14:textId="77777777" w:rsidR="0002642C" w:rsidRDefault="00E8439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Class 4. Stereotyping as a signifying practice (race and racism)</w:t>
            </w:r>
          </w:p>
          <w:p w14:paraId="58F42849" w14:textId="77777777" w:rsidR="0002642C" w:rsidRDefault="00E84390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 xml:space="preserve">Key issues: commodity racism, representation difference and power, fetishism and disavowal </w:t>
            </w:r>
          </w:p>
          <w:p w14:paraId="29BA6A56" w14:textId="77777777" w:rsidR="0002642C" w:rsidRDefault="0002642C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</w:p>
          <w:p w14:paraId="6F8E3BB5" w14:textId="77777777" w:rsidR="0002642C" w:rsidRDefault="00E84390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Class 5. Constructing ethnic boundaries. Case study</w:t>
            </w:r>
          </w:p>
          <w:p w14:paraId="3E95801F" w14:textId="77777777" w:rsidR="0002642C" w:rsidRDefault="00E84390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Key issues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: types of ethnic pluralism, conflict regulation in deeply divided societies, case study: the Armenian Genocide</w:t>
            </w:r>
          </w:p>
          <w:p w14:paraId="0860F85C" w14:textId="77777777" w:rsidR="0002642C" w:rsidRDefault="0002642C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</w:p>
          <w:p w14:paraId="0B24A5C3" w14:textId="77777777" w:rsidR="0002642C" w:rsidRDefault="00E84390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Class 6. Nationalism and Its Representations in Contemporary Europe</w:t>
            </w:r>
          </w:p>
          <w:p w14:paraId="17F7D022" w14:textId="77777777" w:rsidR="0002642C" w:rsidRPr="00E84390" w:rsidRDefault="00E84390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 xml:space="preserve">Key issues: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 xml:space="preserve">case studies: Germany and Ireland, </w:t>
            </w:r>
          </w:p>
          <w:p w14:paraId="18F854DD" w14:textId="77777777" w:rsidR="0002642C" w:rsidRPr="00E84390" w:rsidRDefault="0002642C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</w:p>
          <w:p w14:paraId="09DC51B8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Class 7.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Students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’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projects</w:t>
            </w:r>
            <w:proofErr w:type="spellEnd"/>
          </w:p>
          <w:p w14:paraId="6437B27E" w14:textId="77777777" w:rsidR="0002642C" w:rsidRDefault="0002642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C1B5575" w14:textId="77777777" w:rsidR="0002642C" w:rsidRDefault="0002642C">
      <w:pPr>
        <w:rPr>
          <w:lang w:val="en-US"/>
        </w:rPr>
      </w:pPr>
    </w:p>
    <w:p w14:paraId="4FAA59F8" w14:textId="77777777" w:rsidR="0002642C" w:rsidRDefault="0002642C">
      <w:pPr>
        <w:rPr>
          <w:rFonts w:ascii="Arial" w:hAnsi="Arial" w:cs="Arial"/>
          <w:sz w:val="22"/>
          <w:szCs w:val="16"/>
          <w:lang w:val="en-US"/>
        </w:rPr>
      </w:pPr>
    </w:p>
    <w:p w14:paraId="554A7195" w14:textId="77777777" w:rsidR="0002642C" w:rsidRDefault="00E84390">
      <w:pPr>
        <w:rPr>
          <w:rFonts w:ascii="Arial" w:hAnsi="Arial" w:cs="Arial"/>
          <w:sz w:val="22"/>
          <w:szCs w:val="16"/>
        </w:rPr>
      </w:pPr>
      <w:proofErr w:type="spellStart"/>
      <w:r>
        <w:rPr>
          <w:rFonts w:ascii="Arial" w:hAnsi="Arial" w:cs="Arial"/>
          <w:sz w:val="22"/>
          <w:szCs w:val="16"/>
        </w:rPr>
        <w:t>Compulsory</w:t>
      </w:r>
      <w:proofErr w:type="spellEnd"/>
      <w:r>
        <w:rPr>
          <w:rFonts w:ascii="Arial" w:hAnsi="Arial" w:cs="Arial"/>
          <w:sz w:val="22"/>
          <w:szCs w:val="16"/>
        </w:rPr>
        <w:t xml:space="preserve"> </w:t>
      </w:r>
      <w:proofErr w:type="spellStart"/>
      <w:r>
        <w:rPr>
          <w:rFonts w:ascii="Arial" w:hAnsi="Arial" w:cs="Arial"/>
          <w:sz w:val="22"/>
          <w:szCs w:val="16"/>
        </w:rPr>
        <w:t>reading</w:t>
      </w:r>
      <w:proofErr w:type="spellEnd"/>
    </w:p>
    <w:p w14:paraId="23F44FF3" w14:textId="77777777" w:rsidR="0002642C" w:rsidRDefault="0002642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02642C" w:rsidRPr="00E721FC" w14:paraId="7EF18596" w14:textId="77777777">
        <w:trPr>
          <w:trHeight w:val="1098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ABE98D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Barker, Ch. (2000)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Cultural studies. Theory and  practice.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London: Sege Publications</w:t>
            </w:r>
          </w:p>
          <w:p w14:paraId="542BC2FA" w14:textId="77777777" w:rsidR="0002642C" w:rsidRDefault="00E843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During, S. (Ed.) (1993).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The Cultural Studies Reader.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London: Routledge</w:t>
            </w:r>
          </w:p>
          <w:p w14:paraId="2DE3DB4B" w14:textId="77777777" w:rsidR="0002642C" w:rsidRDefault="00E843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Durham M.,G., Kellner D. M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(Eds) (2006)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Media and Cultural Studies.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KeyWorks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Blackwell Publishing</w:t>
            </w:r>
          </w:p>
          <w:p w14:paraId="1960AA5C" w14:textId="77777777" w:rsidR="0002642C" w:rsidRDefault="00E843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Hall, S. (Ed. ) (1997).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Representation: cultural representation and signifying practices.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London: Sege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Publications</w:t>
            </w:r>
          </w:p>
          <w:p w14:paraId="2C74444B" w14:textId="77777777" w:rsidR="0002642C" w:rsidRDefault="00E8439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Hutchinson J., Smith A.  (1996)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Nationalism.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London: Oxford University Press</w:t>
            </w:r>
          </w:p>
          <w:p w14:paraId="036CC5EB" w14:textId="77777777" w:rsidR="0002642C" w:rsidRPr="00E84390" w:rsidRDefault="00E84390">
            <w:pPr>
              <w:widowControl/>
              <w:tabs>
                <w:tab w:val="left" w:pos="7275"/>
              </w:tabs>
              <w:jc w:val="both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Hutchinson J., Smith A. (1996)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Ethnicity,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London: Oxford University Press</w:t>
            </w:r>
          </w:p>
        </w:tc>
      </w:tr>
    </w:tbl>
    <w:p w14:paraId="129EB4B2" w14:textId="77777777" w:rsidR="0002642C" w:rsidRPr="00E84390" w:rsidRDefault="0002642C">
      <w:pPr>
        <w:rPr>
          <w:lang w:val="en-GB"/>
        </w:rPr>
      </w:pPr>
    </w:p>
    <w:p w14:paraId="6D86C509" w14:textId="77777777" w:rsidR="0002642C" w:rsidRDefault="00E84390">
      <w:r>
        <w:rPr>
          <w:rFonts w:ascii="Arial" w:hAnsi="Arial" w:cs="Arial"/>
          <w:sz w:val="22"/>
          <w:szCs w:val="16"/>
          <w:lang w:val="en-US"/>
        </w:rPr>
        <w:t>Recommended reading</w:t>
      </w:r>
    </w:p>
    <w:p w14:paraId="6641E932" w14:textId="77777777" w:rsidR="0002642C" w:rsidRDefault="0002642C"/>
    <w:p w14:paraId="099C17FB" w14:textId="77777777" w:rsidR="0002642C" w:rsidRDefault="00E84390">
      <w:pPr>
        <w:widowControl/>
        <w:numPr>
          <w:ilvl w:val="0"/>
          <w:numId w:val="2"/>
        </w:numPr>
        <w:tabs>
          <w:tab w:val="left" w:pos="7275"/>
        </w:tabs>
        <w:suppressAutoHyphens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Giddens A. (1991) </w:t>
      </w:r>
      <w:r>
        <w:rPr>
          <w:rFonts w:ascii="Arial" w:hAnsi="Arial" w:cs="Arial"/>
          <w:i/>
          <w:sz w:val="20"/>
          <w:szCs w:val="20"/>
          <w:lang w:val="en-US"/>
        </w:rPr>
        <w:t xml:space="preserve">Modernity and Self-Identity. </w:t>
      </w:r>
      <w:r>
        <w:rPr>
          <w:rFonts w:ascii="Arial" w:hAnsi="Arial" w:cs="Arial"/>
          <w:sz w:val="20"/>
          <w:szCs w:val="20"/>
          <w:lang w:val="en-US"/>
        </w:rPr>
        <w:t>Cambridge: Polity Press</w:t>
      </w:r>
    </w:p>
    <w:p w14:paraId="4450B27A" w14:textId="77777777" w:rsidR="0002642C" w:rsidRDefault="00E84390">
      <w:pPr>
        <w:widowControl/>
        <w:numPr>
          <w:ilvl w:val="0"/>
          <w:numId w:val="2"/>
        </w:numPr>
        <w:tabs>
          <w:tab w:val="left" w:pos="7275"/>
        </w:tabs>
        <w:suppressAutoHyphens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Bauman Z. (1991) </w:t>
      </w:r>
      <w:r>
        <w:rPr>
          <w:rFonts w:ascii="Arial" w:hAnsi="Arial" w:cs="Arial"/>
          <w:i/>
          <w:sz w:val="20"/>
          <w:szCs w:val="20"/>
          <w:lang w:val="en-US"/>
        </w:rPr>
        <w:t xml:space="preserve">Modernity and Ambivalence. </w:t>
      </w:r>
      <w:r>
        <w:rPr>
          <w:rFonts w:ascii="Arial" w:hAnsi="Arial" w:cs="Arial"/>
          <w:sz w:val="20"/>
          <w:szCs w:val="20"/>
          <w:lang w:val="en-US"/>
        </w:rPr>
        <w:t>Cambridge: Polity Press</w:t>
      </w:r>
    </w:p>
    <w:p w14:paraId="66DBD84C" w14:textId="77777777" w:rsidR="0002642C" w:rsidRDefault="00E84390">
      <w:pPr>
        <w:widowControl/>
        <w:numPr>
          <w:ilvl w:val="0"/>
          <w:numId w:val="2"/>
        </w:numPr>
        <w:tabs>
          <w:tab w:val="left" w:pos="7275"/>
        </w:tabs>
        <w:suppressAutoHyphens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Hall S. (1992) </w:t>
      </w:r>
      <w:r>
        <w:rPr>
          <w:rFonts w:ascii="Arial" w:hAnsi="Arial" w:cs="Arial"/>
          <w:i/>
          <w:sz w:val="20"/>
          <w:szCs w:val="20"/>
          <w:lang w:val="en-US"/>
        </w:rPr>
        <w:t>The Question of Cultural Identity’</w:t>
      </w:r>
      <w:r>
        <w:rPr>
          <w:rFonts w:ascii="Arial" w:hAnsi="Arial" w:cs="Arial"/>
          <w:sz w:val="20"/>
          <w:szCs w:val="20"/>
          <w:lang w:val="en-US"/>
        </w:rPr>
        <w:t xml:space="preserve"> In S. Hall, D. Held and T. McGrew (eds) </w:t>
      </w:r>
      <w:r>
        <w:rPr>
          <w:rFonts w:ascii="Arial" w:hAnsi="Arial" w:cs="Arial"/>
          <w:i/>
          <w:sz w:val="20"/>
          <w:szCs w:val="20"/>
          <w:lang w:val="en-US"/>
        </w:rPr>
        <w:t>Modernity and Its Futures</w:t>
      </w:r>
    </w:p>
    <w:p w14:paraId="1B05BD9E" w14:textId="77777777" w:rsidR="0002642C" w:rsidRDefault="00E84390">
      <w:pPr>
        <w:widowControl/>
        <w:numPr>
          <w:ilvl w:val="0"/>
          <w:numId w:val="2"/>
        </w:numPr>
        <w:tabs>
          <w:tab w:val="left" w:pos="7275"/>
        </w:tabs>
        <w:suppressAutoHyphens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Foucault M. (1977) </w:t>
      </w:r>
      <w:r>
        <w:rPr>
          <w:rFonts w:ascii="Arial" w:hAnsi="Arial" w:cs="Arial"/>
          <w:i/>
          <w:sz w:val="20"/>
          <w:szCs w:val="20"/>
          <w:lang w:val="en-US"/>
        </w:rPr>
        <w:t xml:space="preserve">Discipline and Punish, </w:t>
      </w:r>
      <w:r>
        <w:rPr>
          <w:rFonts w:ascii="Arial" w:hAnsi="Arial" w:cs="Arial"/>
          <w:sz w:val="20"/>
          <w:szCs w:val="20"/>
          <w:lang w:val="en-US"/>
        </w:rPr>
        <w:t>London: Allen Lane</w:t>
      </w:r>
    </w:p>
    <w:p w14:paraId="4648205A" w14:textId="77777777" w:rsidR="0002642C" w:rsidRDefault="00E84390">
      <w:pPr>
        <w:widowControl/>
        <w:numPr>
          <w:ilvl w:val="0"/>
          <w:numId w:val="2"/>
        </w:numPr>
        <w:tabs>
          <w:tab w:val="left" w:pos="7275"/>
        </w:tabs>
        <w:suppressAutoHyphens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Butler J. (1990) </w:t>
      </w:r>
      <w:r>
        <w:rPr>
          <w:rFonts w:ascii="Arial" w:hAnsi="Arial" w:cs="Arial"/>
          <w:i/>
          <w:sz w:val="20"/>
          <w:szCs w:val="20"/>
          <w:lang w:val="en-US"/>
        </w:rPr>
        <w:t xml:space="preserve">Gender Trouble, </w:t>
      </w:r>
      <w:r>
        <w:rPr>
          <w:rFonts w:ascii="Arial" w:hAnsi="Arial" w:cs="Arial"/>
          <w:sz w:val="20"/>
          <w:szCs w:val="20"/>
          <w:lang w:val="en-US"/>
        </w:rPr>
        <w:t>New York and London: Routledge</w:t>
      </w:r>
    </w:p>
    <w:p w14:paraId="580E013F" w14:textId="77777777" w:rsidR="0002642C" w:rsidRDefault="00E84390">
      <w:pPr>
        <w:widowControl/>
        <w:numPr>
          <w:ilvl w:val="0"/>
          <w:numId w:val="2"/>
        </w:numPr>
        <w:tabs>
          <w:tab w:val="left" w:pos="7275"/>
        </w:tabs>
        <w:suppressAutoHyphens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Said E. (1978) </w:t>
      </w:r>
      <w:r>
        <w:rPr>
          <w:rFonts w:ascii="Arial" w:hAnsi="Arial" w:cs="Arial"/>
          <w:i/>
          <w:sz w:val="20"/>
          <w:szCs w:val="20"/>
          <w:lang w:val="en-US"/>
        </w:rPr>
        <w:t xml:space="preserve">Orientalism. </w:t>
      </w:r>
      <w:r>
        <w:rPr>
          <w:rFonts w:ascii="Arial" w:hAnsi="Arial" w:cs="Arial"/>
          <w:sz w:val="20"/>
          <w:szCs w:val="20"/>
          <w:lang w:val="en-US"/>
        </w:rPr>
        <w:t>London: Routledge</w:t>
      </w:r>
    </w:p>
    <w:p w14:paraId="2C52C4F3" w14:textId="77777777" w:rsidR="0002642C" w:rsidRDefault="00E84390">
      <w:pPr>
        <w:widowControl/>
        <w:numPr>
          <w:ilvl w:val="0"/>
          <w:numId w:val="2"/>
        </w:numPr>
        <w:tabs>
          <w:tab w:val="left" w:pos="7275"/>
        </w:tabs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Anderson B. (1983) 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Immagined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Communities: Reflections on the Origins and Spread of Nationalism. </w:t>
      </w:r>
      <w:r>
        <w:rPr>
          <w:rFonts w:ascii="Arial" w:hAnsi="Arial" w:cs="Arial"/>
          <w:sz w:val="20"/>
          <w:szCs w:val="20"/>
        </w:rPr>
        <w:t>London: Verso</w:t>
      </w:r>
    </w:p>
    <w:p w14:paraId="7E5A69CD" w14:textId="77777777" w:rsidR="0002642C" w:rsidRDefault="0002642C">
      <w:pPr>
        <w:suppressAutoHyphens w:val="0"/>
        <w:autoSpaceDE w:val="0"/>
        <w:jc w:val="both"/>
        <w:rPr>
          <w:rFonts w:ascii="Arial" w:hAnsi="Arial" w:cs="Arial"/>
          <w:sz w:val="20"/>
          <w:szCs w:val="20"/>
        </w:rPr>
      </w:pPr>
    </w:p>
    <w:p w14:paraId="14B6419D" w14:textId="77777777" w:rsidR="009B2304" w:rsidRDefault="009B2304" w:rsidP="009B230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FF0000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9B2304" w14:paraId="48A9BEAC" w14:textId="77777777" w:rsidTr="00B11421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EFFE560" w14:textId="77777777" w:rsidR="009B2304" w:rsidRDefault="009B2304" w:rsidP="00B11421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0F5657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6FFF81" w14:textId="77777777" w:rsidR="009B2304" w:rsidRPr="00E63B7E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B2304" w14:paraId="23423EEE" w14:textId="77777777" w:rsidTr="00B11421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30498EA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6B06F9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F7609C" w14:textId="77777777" w:rsidR="009B2304" w:rsidRPr="00E63B7E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9B2304" w14:paraId="747BD62E" w14:textId="77777777" w:rsidTr="00B11421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74E67C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BAFB77" w14:textId="77777777" w:rsidR="009B2304" w:rsidRDefault="009B2304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4DC498" w14:textId="77777777" w:rsidR="009B2304" w:rsidRPr="00E63B7E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9B2304" w14:paraId="757715E0" w14:textId="77777777" w:rsidTr="00B11421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DD4A72F" w14:textId="77777777" w:rsidR="009B2304" w:rsidRDefault="009B2304" w:rsidP="00B11421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1E954E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52CC5F" w14:textId="77777777" w:rsidR="009B2304" w:rsidRPr="00E63B7E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9B2304" w14:paraId="69F6A39B" w14:textId="77777777" w:rsidTr="00B11421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48F2982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38593D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C43A20" w14:textId="77777777" w:rsidR="009B2304" w:rsidRPr="00E63B7E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9B2304" w14:paraId="5C720711" w14:textId="77777777" w:rsidTr="00B11421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5EF642D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E2D748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69C332" w14:textId="77777777" w:rsidR="009B2304" w:rsidRPr="00E63B7E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9B2304" w14:paraId="3635ADD7" w14:textId="77777777" w:rsidTr="00B11421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D85EFF8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53B9F0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10F28C" w14:textId="77777777" w:rsidR="009B2304" w:rsidRPr="00E63B7E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9B2304" w14:paraId="0DAC4F7A" w14:textId="77777777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45AE7CC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7B5D04" w14:textId="77777777" w:rsidR="009B2304" w:rsidRPr="00E63B7E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125</w:t>
            </w:r>
          </w:p>
        </w:tc>
      </w:tr>
      <w:tr w:rsidR="009B2304" w14:paraId="1A0C9EDE" w14:textId="77777777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71B9E3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F506A3" w14:textId="77777777" w:rsidR="009B2304" w:rsidRPr="00E63B7E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713763AB" w14:textId="77777777" w:rsidR="009B2304" w:rsidRDefault="009B2304" w:rsidP="009B2304">
      <w:pPr>
        <w:pStyle w:val="Tekstdymka1"/>
        <w:rPr>
          <w:rFonts w:ascii="Arial" w:hAnsi="Arial" w:cs="Arial"/>
          <w:sz w:val="22"/>
        </w:rPr>
      </w:pPr>
    </w:p>
    <w:p w14:paraId="74F779B9" w14:textId="77777777" w:rsidR="009B2304" w:rsidRDefault="009B2304" w:rsidP="009B2304">
      <w:pPr>
        <w:pStyle w:val="Tekstdymka1"/>
        <w:rPr>
          <w:rFonts w:ascii="Arial" w:hAnsi="Arial" w:cs="Arial"/>
          <w:sz w:val="22"/>
        </w:rPr>
      </w:pPr>
    </w:p>
    <w:p w14:paraId="5505AFE8" w14:textId="77777777" w:rsidR="009B2304" w:rsidRDefault="009B2304" w:rsidP="009B230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9B2304" w14:paraId="34A11501" w14:textId="77777777" w:rsidTr="00B11421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63A414E" w14:textId="77777777" w:rsidR="009B2304" w:rsidRDefault="009B2304" w:rsidP="00B11421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E82801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535999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10</w:t>
            </w:r>
          </w:p>
        </w:tc>
      </w:tr>
      <w:tr w:rsidR="009B2304" w14:paraId="3D98AD57" w14:textId="77777777" w:rsidTr="00B11421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2AF99B6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A8A67F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20825A2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9B2304" w14:paraId="00F7E671" w14:textId="77777777" w:rsidTr="00B11421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53EB541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BC3F80" w14:textId="77777777" w:rsidR="009B2304" w:rsidRDefault="009B2304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DCF6E0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9B2304" w14:paraId="21B49BB9" w14:textId="77777777" w:rsidTr="00B11421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502237" w14:textId="77777777" w:rsidR="009B2304" w:rsidRDefault="009B2304" w:rsidP="00B11421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3D756B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CE5C37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9B2304" w14:paraId="1B69C9EE" w14:textId="77777777" w:rsidTr="00B11421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8C6D7B5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4E09E0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FDDCF63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9B2304" w14:paraId="14300C60" w14:textId="77777777" w:rsidTr="00B11421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4747572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CA62EA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941964E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9B2304" w14:paraId="3624331A" w14:textId="77777777" w:rsidTr="00B11421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25770C8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8E5B15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4917D5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9B2304" w14:paraId="0B548FCB" w14:textId="77777777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5C9356D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136D4A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125</w:t>
            </w:r>
          </w:p>
        </w:tc>
      </w:tr>
      <w:tr w:rsidR="009B2304" w14:paraId="550CD4A3" w14:textId="77777777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61D2567" w14:textId="77777777" w:rsidR="009B2304" w:rsidRDefault="009B2304" w:rsidP="00B11421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30C545" w14:textId="77777777" w:rsidR="009B2304" w:rsidRDefault="009B2304" w:rsidP="00B11421">
            <w:pPr>
              <w:widowControl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6846529F" w14:textId="77777777" w:rsidR="009B2304" w:rsidRDefault="009B2304" w:rsidP="009B2304">
      <w:pPr>
        <w:pStyle w:val="Tekstdymka1"/>
        <w:rPr>
          <w:rFonts w:ascii="Arial" w:hAnsi="Arial" w:cs="Arial"/>
          <w:sz w:val="22"/>
        </w:rPr>
      </w:pPr>
    </w:p>
    <w:p w14:paraId="6CDC7CB2" w14:textId="77777777" w:rsidR="009B2304" w:rsidRDefault="009B2304" w:rsidP="009B2304">
      <w:pPr>
        <w:pStyle w:val="Tekstdymka1"/>
      </w:pPr>
    </w:p>
    <w:p w14:paraId="61A897D2" w14:textId="77777777" w:rsidR="009B2304" w:rsidRPr="009D125E" w:rsidRDefault="009B2304" w:rsidP="009B2304">
      <w:pPr>
        <w:rPr>
          <w:lang w:val="en-GB"/>
        </w:rPr>
      </w:pPr>
    </w:p>
    <w:p w14:paraId="6D99E145" w14:textId="77777777" w:rsidR="0002642C" w:rsidRDefault="0002642C">
      <w:pPr>
        <w:jc w:val="both"/>
      </w:pPr>
    </w:p>
    <w:p w14:paraId="43640163" w14:textId="77777777" w:rsidR="0002642C" w:rsidRDefault="0002642C">
      <w:pPr>
        <w:jc w:val="both"/>
        <w:rPr>
          <w:bCs/>
          <w:iCs/>
          <w:u w:val="single"/>
          <w:lang w:val="en-US"/>
        </w:rPr>
      </w:pPr>
    </w:p>
    <w:p w14:paraId="6E960D67" w14:textId="77777777" w:rsidR="0002642C" w:rsidRDefault="0002642C"/>
    <w:sectPr w:rsidR="0002642C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8F1D" w14:textId="77777777" w:rsidR="0002642C" w:rsidRDefault="00E84390">
      <w:r>
        <w:separator/>
      </w:r>
    </w:p>
  </w:endnote>
  <w:endnote w:type="continuationSeparator" w:id="0">
    <w:p w14:paraId="0F1559E9" w14:textId="77777777" w:rsidR="0002642C" w:rsidRDefault="00E8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28BA" w14:textId="77777777" w:rsidR="0002642C" w:rsidRDefault="00E8439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3242948" w14:textId="77777777" w:rsidR="0002642C" w:rsidRDefault="000264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0B7A" w14:textId="77777777" w:rsidR="0002642C" w:rsidRDefault="00E84390">
      <w:r>
        <w:separator/>
      </w:r>
    </w:p>
  </w:footnote>
  <w:footnote w:type="continuationSeparator" w:id="0">
    <w:p w14:paraId="094EACFE" w14:textId="77777777" w:rsidR="0002642C" w:rsidRDefault="00E8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 w16cid:durableId="212355756">
    <w:abstractNumId w:val="0"/>
  </w:num>
  <w:num w:numId="2" w16cid:durableId="1522551200">
    <w:abstractNumId w:val="1"/>
  </w:num>
  <w:num w:numId="3" w16cid:durableId="1068839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90"/>
    <w:rsid w:val="0002642C"/>
    <w:rsid w:val="009B2304"/>
    <w:rsid w:val="009F6117"/>
    <w:rsid w:val="00E721FC"/>
    <w:rsid w:val="00E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F7A"/>
  <w15:chartTrackingRefBased/>
  <w15:docId w15:val="{697F39A9-1091-4089-ABF1-FC7EB4E5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b w:val="0"/>
      <w:sz w:val="22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  <w:b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b/>
      <w:bCs/>
      <w:sz w:val="24"/>
      <w:szCs w:val="24"/>
      <w:u w:val="single"/>
      <w:lang w:val="en-GB"/>
    </w:rPr>
  </w:style>
  <w:style w:type="character" w:customStyle="1" w:styleId="PodtytuZnak">
    <w:name w:val="Podtytuł Znak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suppressAutoHyphens w:val="0"/>
      <w:overflowPunct w:val="0"/>
      <w:autoSpaceDE w:val="0"/>
      <w:jc w:val="center"/>
      <w:textAlignment w:val="baseline"/>
    </w:pPr>
    <w:rPr>
      <w:rFonts w:eastAsia="Times New Roman" w:cs="Times New Roman"/>
      <w:b/>
      <w:bCs/>
      <w:u w:val="single"/>
      <w:lang w:val="en-GB" w:eastAsia="ar-SA" w:bidi="ar-SA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eastAsia="Times New Roman" w:hAnsi="Cambria" w:cs="Cambria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7310</Characters>
  <Application>Microsoft Office Word</Application>
  <DocSecurity>0</DocSecurity>
  <Lines>128</Lines>
  <Paragraphs>38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Michał Warchala</cp:lastModifiedBy>
  <cp:revision>2</cp:revision>
  <cp:lastPrinted>2014-03-06T09:44:00Z</cp:lastPrinted>
  <dcterms:created xsi:type="dcterms:W3CDTF">2024-01-05T16:16:00Z</dcterms:created>
  <dcterms:modified xsi:type="dcterms:W3CDTF">2024-01-05T16:16:00Z</dcterms:modified>
</cp:coreProperties>
</file>