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464C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2452C141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15CCA6F8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672E2F17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71D16BA1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A1AFD5F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876DEFB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566530C3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1355293D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451BCBC5" w14:textId="77777777" w:rsidR="00303F50" w:rsidRDefault="00F64AC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 badacza – badania ilościowe</w:t>
            </w:r>
          </w:p>
        </w:tc>
      </w:tr>
      <w:tr w:rsidR="00303F50" w14:paraId="1DA8D550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030C8DC6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13A78BBF" w14:textId="77777777" w:rsidR="00303F50" w:rsidRPr="00F64AC1" w:rsidRDefault="00F64AC1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F64AC1">
              <w:rPr>
                <w:rFonts w:ascii="Arial" w:hAnsi="Arial" w:cs="Arial"/>
                <w:i/>
                <w:iCs/>
                <w:sz w:val="20"/>
                <w:szCs w:val="20"/>
              </w:rPr>
              <w:t>Quantitative</w:t>
            </w:r>
            <w:proofErr w:type="spellEnd"/>
            <w:r w:rsidRPr="00F64A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64AC1">
              <w:rPr>
                <w:rFonts w:ascii="Arial" w:hAnsi="Arial" w:cs="Arial"/>
                <w:i/>
                <w:iCs/>
                <w:sz w:val="20"/>
                <w:szCs w:val="20"/>
              </w:rPr>
              <w:t>Social</w:t>
            </w:r>
            <w:proofErr w:type="spellEnd"/>
            <w:r w:rsidRPr="00F64A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64AC1">
              <w:rPr>
                <w:rFonts w:ascii="Arial" w:hAnsi="Arial" w:cs="Arial"/>
                <w:i/>
                <w:iCs/>
                <w:sz w:val="20"/>
                <w:szCs w:val="20"/>
              </w:rPr>
              <w:t>Research</w:t>
            </w:r>
            <w:proofErr w:type="spellEnd"/>
          </w:p>
        </w:tc>
      </w:tr>
    </w:tbl>
    <w:p w14:paraId="710C2E02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5FCC8A4E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7B4DFBA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79BC62D3" w14:textId="77777777" w:rsidR="00827D3B" w:rsidRDefault="00F64AC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 Albańska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4B28302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737DF1F8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4E2C46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4A94823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E558FE4" w14:textId="77777777" w:rsidR="00827D3B" w:rsidRDefault="00F64AC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 Albańska</w:t>
            </w:r>
          </w:p>
        </w:tc>
      </w:tr>
      <w:tr w:rsidR="00827D3B" w14:paraId="507E320A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B8B69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6642D19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C6F9A4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634416A4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145295D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F4ACAF2" w14:textId="341097FA" w:rsidR="00827D3B" w:rsidRDefault="00A41F7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358731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570E3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2568901B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376D14E8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6EC7CB7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1D677F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BC60F3C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184340F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1F229B10" w14:textId="77777777">
        <w:trPr>
          <w:trHeight w:val="1365"/>
        </w:trPr>
        <w:tc>
          <w:tcPr>
            <w:tcW w:w="9640" w:type="dxa"/>
          </w:tcPr>
          <w:p w14:paraId="67206892" w14:textId="77777777" w:rsidR="004C01BA" w:rsidRPr="004C01BA" w:rsidRDefault="004C01BA" w:rsidP="004C01BA">
            <w:pPr>
              <w:rPr>
                <w:rFonts w:ascii="Verdana" w:hAnsi="Verdana"/>
                <w:sz w:val="18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 xml:space="preserve">Celem kursu jest zapoznanie uczestników i uczestniczek ze specyfiką projektowania i prowadzenia badań ilościowych, w szczególności sondażu. Wykonywane w trakcie zajęć oraz zadawane do wykonania w grupach ćwiczenia służą nabywaniu kompetencji w tym zakresie. </w:t>
            </w:r>
          </w:p>
          <w:p w14:paraId="61589A41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DA37A6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39C514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EE62A84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4EF9E61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95808DE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63FDD068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1B3118E0" w14:textId="77777777" w:rsidR="00303F50" w:rsidRPr="004C01BA" w:rsidRDefault="004C01BA" w:rsidP="004C01BA">
            <w:pPr>
              <w:rPr>
                <w:rFonts w:ascii="Verdana" w:hAnsi="Verdana"/>
                <w:sz w:val="18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>Znajomość poszczególnych etapów planowania badań społecznych, wiedza na temat metod i technik badawczych w socjologii.</w:t>
            </w:r>
          </w:p>
          <w:p w14:paraId="4593FCDA" w14:textId="77777777" w:rsidR="00303F50" w:rsidRDefault="00303F50" w:rsidP="004C01BA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2B3922E7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2159060A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6F497BDB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712172AC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1A4D62C5" w14:textId="77777777">
        <w:tc>
          <w:tcPr>
            <w:tcW w:w="1941" w:type="dxa"/>
            <w:shd w:val="clear" w:color="auto" w:fill="DBE5F1"/>
            <w:vAlign w:val="center"/>
          </w:tcPr>
          <w:p w14:paraId="49FCB97B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7F647B0C" w14:textId="77777777" w:rsidR="004C01BA" w:rsidRPr="004C01BA" w:rsidRDefault="004C01BA" w:rsidP="004C01BA">
            <w:pPr>
              <w:rPr>
                <w:rFonts w:ascii="Verdana" w:hAnsi="Verdana"/>
                <w:sz w:val="18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>Ukończony kurs z metod badań społecznych.</w:t>
            </w:r>
          </w:p>
          <w:p w14:paraId="4CD1739E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5D2E866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72A59D0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EC4425A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A323C9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44BCBD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AD7E68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7B3805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C4F6564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CF19AB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BC98C8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E21622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1C01C3B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7207F30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324DD1F3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360232A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D5ECB1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08A1628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C2654CE" w14:textId="77777777">
        <w:trPr>
          <w:cantSplit/>
          <w:trHeight w:val="1838"/>
        </w:trPr>
        <w:tc>
          <w:tcPr>
            <w:tcW w:w="1979" w:type="dxa"/>
            <w:vMerge/>
          </w:tcPr>
          <w:p w14:paraId="6E7C293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2C474B2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W01, 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t>Zna metody i narzędzia pozyskiwania danych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właściwe dla socjologii (ilościowe i jakościowe),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pozwalające opisywać grupy i instytucje społeczne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oraz procesy zachodzące wewnątrz nich</w:t>
            </w:r>
            <w:r w:rsidR="002D44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1AD4FC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99BC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04898E57" w14:textId="77777777" w:rsidR="00303F50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14:paraId="55903B5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940CCD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13D878DA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5FF77A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49EEF5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0504E4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FA69A6A" w14:textId="77777777">
        <w:trPr>
          <w:cantSplit/>
          <w:trHeight w:val="2116"/>
        </w:trPr>
        <w:tc>
          <w:tcPr>
            <w:tcW w:w="1985" w:type="dxa"/>
            <w:vMerge/>
          </w:tcPr>
          <w:p w14:paraId="72A1025B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5E461FC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U01, 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t>Potrafi prognozować skutki złożonych procesów i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zjawisk społecznych z wykorzystaniem standardowych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metod i narzędzi socjologii</w:t>
            </w:r>
            <w:r w:rsidR="002D44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8FBD04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30C55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U02, </w:t>
            </w:r>
            <w:r w:rsidRPr="002D4485">
              <w:rPr>
                <w:rFonts w:ascii="Arial" w:hAnsi="Arial" w:cs="Arial"/>
                <w:sz w:val="20"/>
                <w:szCs w:val="20"/>
              </w:rPr>
              <w:t>Potrafi formułować pytania i hipotezy badawcze,</w:t>
            </w:r>
            <w:r w:rsidRPr="002D4485">
              <w:rPr>
                <w:rFonts w:ascii="Arial" w:hAnsi="Arial" w:cs="Arial"/>
                <w:sz w:val="20"/>
                <w:szCs w:val="20"/>
              </w:rPr>
              <w:br/>
              <w:t>identyfikować zmienne, tworzyć wskaźniki w oparciu</w:t>
            </w:r>
            <w:r w:rsidRPr="002D4485">
              <w:rPr>
                <w:rFonts w:ascii="Arial" w:hAnsi="Arial" w:cs="Arial"/>
                <w:sz w:val="20"/>
                <w:szCs w:val="20"/>
              </w:rPr>
              <w:br/>
              <w:t>o metodologię badań społecznych oraz ogólnie</w:t>
            </w:r>
            <w:r w:rsidRPr="002D4485">
              <w:rPr>
                <w:rFonts w:ascii="Arial" w:hAnsi="Arial" w:cs="Arial"/>
                <w:sz w:val="20"/>
                <w:szCs w:val="20"/>
              </w:rPr>
              <w:br/>
              <w:t>obowiązujące systemy normatywne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2B0CF677" w14:textId="77777777" w:rsidR="00303F50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K_U02</w:t>
            </w:r>
          </w:p>
          <w:p w14:paraId="2B58080D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9A5E0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D6356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F88F84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14:paraId="057E97B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48F450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C87CBA8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7593AC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5308E1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2C862E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7A03A893" w14:textId="77777777">
        <w:trPr>
          <w:cantSplit/>
          <w:trHeight w:val="1984"/>
        </w:trPr>
        <w:tc>
          <w:tcPr>
            <w:tcW w:w="1985" w:type="dxa"/>
            <w:vMerge/>
          </w:tcPr>
          <w:p w14:paraId="709CB04A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23F2E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K01, 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t>Rozumie znaczenie dyskusji jako podstawowego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narzędzia poszukiwań intelektualnych; jest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człowiekiem doceniającym znaczenie niezależności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myślenia oraz krytycznego dystansu wobec opinii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własnych i cudzych</w:t>
            </w:r>
            <w:r w:rsidR="002D44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2B6B9A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CBD64D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K02, </w:t>
            </w:r>
            <w:r w:rsidRPr="002D4485">
              <w:rPr>
                <w:rFonts w:ascii="Arial" w:hAnsi="Arial" w:cs="Arial"/>
                <w:sz w:val="20"/>
                <w:szCs w:val="20"/>
              </w:rPr>
              <w:t>Potrafi uczestniczyć w przygotowaniu projektów</w:t>
            </w:r>
            <w:r w:rsidRPr="002D4485">
              <w:rPr>
                <w:rFonts w:ascii="Arial" w:hAnsi="Arial" w:cs="Arial"/>
                <w:sz w:val="20"/>
                <w:szCs w:val="20"/>
              </w:rPr>
              <w:br/>
              <w:t>społecznych, uwzględniając ich różne aspekty (np.</w:t>
            </w:r>
            <w:r w:rsidRPr="002D4485">
              <w:rPr>
                <w:rFonts w:ascii="Arial" w:hAnsi="Arial" w:cs="Arial"/>
                <w:sz w:val="20"/>
                <w:szCs w:val="20"/>
              </w:rPr>
              <w:br/>
              <w:t>ekonomiczne, polityczne)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1EE91C6B" w14:textId="77777777" w:rsidR="00303F50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6FF4038B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8E10E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1ED623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09E6E3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B7B11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D0488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14:paraId="7967011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FA0D82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890DDB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6951CD9E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72420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3F00D24D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24A191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FB24AE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5F0197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DFF1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0055C1EF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D90BAD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45CFFB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B8E2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3219A3F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CB347B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24D3184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1579C6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2919281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23C50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84BADF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5D843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50A6279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4AB8F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7AA7543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299972B7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4FD911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3EB4F49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7C1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0C57B" w14:textId="77777777" w:rsidR="00303F50" w:rsidRDefault="0098209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5484ACD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E8886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C6BE3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7D725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8DD1528" w14:textId="77777777">
        <w:trPr>
          <w:trHeight w:val="462"/>
        </w:trPr>
        <w:tc>
          <w:tcPr>
            <w:tcW w:w="1611" w:type="dxa"/>
            <w:vAlign w:val="center"/>
          </w:tcPr>
          <w:p w14:paraId="7ED2A5E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2337D6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0088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410F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77B991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ADCF0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EBB25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26281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8183B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7A6B15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0EE1060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27F70E7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A9FA7D6" w14:textId="77777777">
        <w:trPr>
          <w:trHeight w:val="1920"/>
        </w:trPr>
        <w:tc>
          <w:tcPr>
            <w:tcW w:w="9622" w:type="dxa"/>
          </w:tcPr>
          <w:p w14:paraId="4BF1B72D" w14:textId="77777777" w:rsidR="004C01BA" w:rsidRPr="00577E28" w:rsidRDefault="004C01BA" w:rsidP="004C01BA">
            <w:pPr>
              <w:rPr>
                <w:rFonts w:ascii="Verdana" w:hAnsi="Verdana"/>
                <w:sz w:val="18"/>
                <w:szCs w:val="18"/>
              </w:rPr>
            </w:pPr>
            <w:r w:rsidRPr="00577E28">
              <w:rPr>
                <w:rFonts w:ascii="Verdana" w:hAnsi="Verdana"/>
                <w:sz w:val="18"/>
                <w:szCs w:val="18"/>
              </w:rPr>
              <w:t xml:space="preserve">W ramach przygotowania do zajęć uczestnicy i uczestniczki kursu czytają literaturę oraz wykonują zadania, które omawiane są na początku każdego spotkania. W trakcie kursu przewidziane są także kolokwia sprawdzające znajomość literatury (na początku zajęć). </w:t>
            </w:r>
          </w:p>
          <w:p w14:paraId="130D270C" w14:textId="77777777" w:rsidR="00303F50" w:rsidRDefault="004C01BA" w:rsidP="004C01BA">
            <w:pPr>
              <w:ind w:firstLine="708"/>
              <w:rPr>
                <w:rFonts w:ascii="Arial" w:hAnsi="Arial" w:cs="Arial"/>
                <w:sz w:val="22"/>
                <w:szCs w:val="16"/>
              </w:rPr>
            </w:pPr>
            <w:r w:rsidRPr="00577E28">
              <w:rPr>
                <w:rFonts w:ascii="Verdana" w:hAnsi="Verdana"/>
                <w:sz w:val="18"/>
                <w:szCs w:val="18"/>
              </w:rPr>
              <w:t xml:space="preserve">Zasadnicza część zajęć ma formę warsztatową i polega na ćwiczeniu umiejętności projektowania oraz prowadzenia badań z wykorzystaniem metod ilościowych. Efektem pracy w trakcie semestru jest przygotowanie w grupach projektu badania 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577E28">
              <w:rPr>
                <w:rFonts w:ascii="Verdana" w:hAnsi="Verdana"/>
                <w:sz w:val="18"/>
                <w:szCs w:val="18"/>
              </w:rPr>
              <w:t xml:space="preserve"> narzędzia do badania ilościowego</w:t>
            </w:r>
            <w:r>
              <w:rPr>
                <w:rFonts w:ascii="Verdana" w:hAnsi="Verdana"/>
                <w:sz w:val="18"/>
                <w:szCs w:val="18"/>
              </w:rPr>
              <w:t>, oraz realizacja badania i opracowanie jego wyników (ankieta online)</w:t>
            </w:r>
            <w:r w:rsidRPr="00577E28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</w:tbl>
    <w:p w14:paraId="59F6AA9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6FB216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B3DF96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23960E6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72B94E44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4EB4714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B6A3FB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61ABBD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AA55D8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502F5B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D9A35B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00C8B0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C3E263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74CFF4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0FEACEF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3E13AB9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3AA4DA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771769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6DFCC9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5D05B869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9FC7F7D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76B3B0C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90CDD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361A3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98405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E82DD4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7330603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B7AA5C9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B37043C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8AA412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6920FFE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C7C5E5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3AF12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41AFE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430B6115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F80744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3DF9A35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FCB28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5A928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B5286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DCCB84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F7872B4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AD51EA9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D0606DE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B426BC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E2EB319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099AA4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25A0A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904DF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74A781C8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6983B7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392F3AF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F53E8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6C174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C704D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12AA50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C1CADF4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34A6340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7CE6098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35C98F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264E50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B2A78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D13D5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2BB40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72189130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92AC9C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598C5F9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93B09F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F9AC0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49996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8DFC5A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116C19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0CAC58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E3C8F8C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45BD71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256352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434B0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A133D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4D934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153BBC17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386E2B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58B3445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51A59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4B09A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BDCCC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665705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1253B6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649711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A0426F0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C56B52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56F9B10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59C9A3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D41A6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068C2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2FAB84D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214E93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7433E5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B654261" w14:textId="77777777">
        <w:tc>
          <w:tcPr>
            <w:tcW w:w="1941" w:type="dxa"/>
            <w:shd w:val="clear" w:color="auto" w:fill="DBE5F1"/>
            <w:vAlign w:val="center"/>
          </w:tcPr>
          <w:p w14:paraId="49BB704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36CEA051" w14:textId="77777777" w:rsidR="004C01BA" w:rsidRPr="00577E28" w:rsidRDefault="004C01BA" w:rsidP="004C01BA">
            <w:pPr>
              <w:rPr>
                <w:rFonts w:ascii="Verdana" w:hAnsi="Verdana"/>
                <w:sz w:val="18"/>
                <w:szCs w:val="18"/>
              </w:rPr>
            </w:pPr>
            <w:r w:rsidRPr="00577E28">
              <w:rPr>
                <w:rFonts w:ascii="Verdana" w:hAnsi="Verdana"/>
                <w:sz w:val="18"/>
                <w:szCs w:val="18"/>
              </w:rPr>
              <w:t xml:space="preserve">Każdy uczestnik/uczestniczka zajęć ma prawo do </w:t>
            </w:r>
            <w:r>
              <w:rPr>
                <w:rFonts w:ascii="Verdana" w:hAnsi="Verdana"/>
                <w:sz w:val="18"/>
                <w:szCs w:val="18"/>
              </w:rPr>
              <w:t>dwóch</w:t>
            </w:r>
            <w:r w:rsidRPr="00577E28">
              <w:rPr>
                <w:rFonts w:ascii="Verdana" w:hAnsi="Verdana"/>
                <w:sz w:val="18"/>
                <w:szCs w:val="18"/>
              </w:rPr>
              <w:t xml:space="preserve"> nieobecności oraz jednego dłuższego spóźnienia lub wcześniejszego wyjścia (maksymalnie 30 minut). Każda dodatkowa nieobecność oraz spóźnienie/wcześniejsze wyjście powoduje obniżenie oceny końcowej. Brak przygotowania do zajęć jest równoznaczny z nieobecnością.</w:t>
            </w:r>
          </w:p>
          <w:p w14:paraId="2FE9256F" w14:textId="77777777" w:rsidR="004C01BA" w:rsidRPr="00577E28" w:rsidRDefault="004C01BA" w:rsidP="004C01BA">
            <w:pPr>
              <w:rPr>
                <w:rFonts w:ascii="Verdana" w:hAnsi="Verdana"/>
                <w:b/>
                <w:sz w:val="16"/>
                <w:szCs w:val="18"/>
              </w:rPr>
            </w:pPr>
          </w:p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5258"/>
              <w:gridCol w:w="3954"/>
            </w:tblGrid>
            <w:tr w:rsidR="004C01BA" w:rsidRPr="00577E28" w14:paraId="1B221408" w14:textId="77777777">
              <w:tc>
                <w:tcPr>
                  <w:tcW w:w="5258" w:type="dxa"/>
                  <w:shd w:val="clear" w:color="auto" w:fill="auto"/>
                </w:tcPr>
                <w:p w14:paraId="1E4DDD48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</w:p>
              </w:tc>
              <w:tc>
                <w:tcPr>
                  <w:tcW w:w="3954" w:type="dxa"/>
                  <w:shd w:val="clear" w:color="auto" w:fill="auto"/>
                </w:tcPr>
                <w:p w14:paraId="2C2ED159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b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b/>
                      <w:sz w:val="16"/>
                      <w:szCs w:val="18"/>
                    </w:rPr>
                    <w:t>% oceny końcowej</w:t>
                  </w:r>
                </w:p>
              </w:tc>
            </w:tr>
            <w:tr w:rsidR="004C01BA" w:rsidRPr="00577E28" w14:paraId="0D87F4BA" w14:textId="77777777">
              <w:tc>
                <w:tcPr>
                  <w:tcW w:w="5258" w:type="dxa"/>
                  <w:shd w:val="clear" w:color="auto" w:fill="auto"/>
                </w:tcPr>
                <w:p w14:paraId="05674270" w14:textId="77777777" w:rsidR="004C01BA" w:rsidRDefault="004C01BA">
                  <w:pPr>
                    <w:widowControl/>
                    <w:numPr>
                      <w:ilvl w:val="0"/>
                      <w:numId w:val="5"/>
                    </w:numPr>
                    <w:suppressAutoHyphens w:val="0"/>
                    <w:autoSpaceDE/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Kolokwia sprawdzające znajomość literatury.</w:t>
                  </w:r>
                </w:p>
              </w:tc>
              <w:tc>
                <w:tcPr>
                  <w:tcW w:w="3954" w:type="dxa"/>
                  <w:shd w:val="clear" w:color="auto" w:fill="auto"/>
                </w:tcPr>
                <w:p w14:paraId="656C79C2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30%</w:t>
                  </w:r>
                </w:p>
              </w:tc>
            </w:tr>
            <w:tr w:rsidR="004C01BA" w:rsidRPr="00577E28" w14:paraId="7744BD65" w14:textId="77777777">
              <w:tc>
                <w:tcPr>
                  <w:tcW w:w="5258" w:type="dxa"/>
                  <w:shd w:val="clear" w:color="auto" w:fill="auto"/>
                </w:tcPr>
                <w:p w14:paraId="33C4309A" w14:textId="77777777" w:rsidR="004C01BA" w:rsidRDefault="004C01BA">
                  <w:pPr>
                    <w:widowControl/>
                    <w:numPr>
                      <w:ilvl w:val="0"/>
                      <w:numId w:val="5"/>
                    </w:numPr>
                    <w:suppressAutoHyphens w:val="0"/>
                    <w:autoSpaceDE/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Udział w tworzeniu projektu badania – wykonywanie zadań na zaliczenie (indywidualnie lub w grupach).</w:t>
                  </w:r>
                </w:p>
              </w:tc>
              <w:tc>
                <w:tcPr>
                  <w:tcW w:w="3954" w:type="dxa"/>
                  <w:shd w:val="clear" w:color="auto" w:fill="auto"/>
                </w:tcPr>
                <w:p w14:paraId="08896428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</w:p>
                <w:p w14:paraId="19D40EB4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70%</w:t>
                  </w:r>
                </w:p>
              </w:tc>
            </w:tr>
          </w:tbl>
          <w:p w14:paraId="2322B9C3" w14:textId="77777777" w:rsidR="004C01BA" w:rsidRPr="00577E28" w:rsidRDefault="004C01BA" w:rsidP="004C01BA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63D413D" w14:textId="77777777" w:rsidR="004C01BA" w:rsidRPr="00577E28" w:rsidRDefault="004C01BA" w:rsidP="004C01BA">
            <w:pPr>
              <w:rPr>
                <w:rFonts w:ascii="Verdana" w:hAnsi="Verdana"/>
                <w:b/>
                <w:sz w:val="16"/>
                <w:szCs w:val="18"/>
              </w:rPr>
            </w:pPr>
            <w:r w:rsidRPr="00577E28">
              <w:rPr>
                <w:rFonts w:ascii="Verdana" w:hAnsi="Verdana"/>
                <w:b/>
                <w:sz w:val="16"/>
                <w:szCs w:val="18"/>
              </w:rPr>
              <w:t>Ocena końcowa:</w:t>
            </w:r>
          </w:p>
          <w:tbl>
            <w:tblPr>
              <w:tblW w:w="23496" w:type="dxa"/>
              <w:tblLayout w:type="fixed"/>
              <w:tblLook w:val="04A0" w:firstRow="1" w:lastRow="0" w:firstColumn="1" w:lastColumn="0" w:noHBand="0" w:noVBand="1"/>
            </w:tblPr>
            <w:tblGrid>
              <w:gridCol w:w="1242"/>
              <w:gridCol w:w="828"/>
              <w:gridCol w:w="1157"/>
              <w:gridCol w:w="13127"/>
              <w:gridCol w:w="7142"/>
            </w:tblGrid>
            <w:tr w:rsidR="004C01BA" w:rsidRPr="00577E28" w14:paraId="21CBEAE7" w14:textId="77777777">
              <w:tc>
                <w:tcPr>
                  <w:tcW w:w="1242" w:type="dxa"/>
                  <w:shd w:val="clear" w:color="auto" w:fill="auto"/>
                </w:tcPr>
                <w:p w14:paraId="76FC7B00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90-100%</w:t>
                  </w:r>
                </w:p>
              </w:tc>
              <w:tc>
                <w:tcPr>
                  <w:tcW w:w="8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F07B7E5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5.0</w:t>
                  </w:r>
                </w:p>
              </w:tc>
              <w:tc>
                <w:tcPr>
                  <w:tcW w:w="11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626A0A2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75-79%</w:t>
                  </w:r>
                </w:p>
              </w:tc>
              <w:tc>
                <w:tcPr>
                  <w:tcW w:w="13127" w:type="dxa"/>
                  <w:shd w:val="clear" w:color="auto" w:fill="auto"/>
                </w:tcPr>
                <w:p w14:paraId="42ED5BE4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3.5</w:t>
                  </w:r>
                </w:p>
              </w:tc>
              <w:tc>
                <w:tcPr>
                  <w:tcW w:w="7142" w:type="dxa"/>
                  <w:shd w:val="clear" w:color="auto" w:fill="auto"/>
                </w:tcPr>
                <w:p w14:paraId="26EB092E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</w:p>
              </w:tc>
            </w:tr>
            <w:tr w:rsidR="004C01BA" w:rsidRPr="00577E28" w14:paraId="4237FE33" w14:textId="77777777">
              <w:tc>
                <w:tcPr>
                  <w:tcW w:w="1242" w:type="dxa"/>
                  <w:shd w:val="clear" w:color="auto" w:fill="auto"/>
                </w:tcPr>
                <w:p w14:paraId="26FF5472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85-89%</w:t>
                  </w:r>
                </w:p>
              </w:tc>
              <w:tc>
                <w:tcPr>
                  <w:tcW w:w="8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C57598E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4.5</w:t>
                  </w:r>
                </w:p>
              </w:tc>
              <w:tc>
                <w:tcPr>
                  <w:tcW w:w="11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E1362A5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70-74%</w:t>
                  </w:r>
                </w:p>
              </w:tc>
              <w:tc>
                <w:tcPr>
                  <w:tcW w:w="13127" w:type="dxa"/>
                  <w:shd w:val="clear" w:color="auto" w:fill="auto"/>
                </w:tcPr>
                <w:p w14:paraId="38BC276A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3.0</w:t>
                  </w:r>
                </w:p>
              </w:tc>
              <w:tc>
                <w:tcPr>
                  <w:tcW w:w="7142" w:type="dxa"/>
                  <w:shd w:val="clear" w:color="auto" w:fill="auto"/>
                </w:tcPr>
                <w:p w14:paraId="2540CE53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</w:p>
              </w:tc>
            </w:tr>
            <w:tr w:rsidR="004C01BA" w:rsidRPr="00577E28" w14:paraId="75526289" w14:textId="77777777">
              <w:tc>
                <w:tcPr>
                  <w:tcW w:w="1242" w:type="dxa"/>
                  <w:shd w:val="clear" w:color="auto" w:fill="auto"/>
                </w:tcPr>
                <w:p w14:paraId="791FBF45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80-84%</w:t>
                  </w:r>
                </w:p>
              </w:tc>
              <w:tc>
                <w:tcPr>
                  <w:tcW w:w="8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1F9A49D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4.0</w:t>
                  </w:r>
                </w:p>
              </w:tc>
              <w:tc>
                <w:tcPr>
                  <w:tcW w:w="11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12D0043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0-69%</w:t>
                  </w:r>
                </w:p>
              </w:tc>
              <w:tc>
                <w:tcPr>
                  <w:tcW w:w="13127" w:type="dxa"/>
                  <w:shd w:val="clear" w:color="auto" w:fill="auto"/>
                </w:tcPr>
                <w:p w14:paraId="666FF363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2.0</w:t>
                  </w:r>
                </w:p>
              </w:tc>
              <w:tc>
                <w:tcPr>
                  <w:tcW w:w="7142" w:type="dxa"/>
                  <w:shd w:val="clear" w:color="auto" w:fill="auto"/>
                </w:tcPr>
                <w:p w14:paraId="6FD91047" w14:textId="77777777"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</w:p>
              </w:tc>
            </w:tr>
          </w:tbl>
          <w:p w14:paraId="749B0D97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6B06C0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92E802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4663D62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37F6FFA8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19BA9F4F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277E53EC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14D985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8DB17B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82A22A5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037FF94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42D665A" w14:textId="77777777">
        <w:trPr>
          <w:trHeight w:val="1136"/>
        </w:trPr>
        <w:tc>
          <w:tcPr>
            <w:tcW w:w="9622" w:type="dxa"/>
          </w:tcPr>
          <w:p w14:paraId="5F89AF8A" w14:textId="77777777" w:rsidR="00303F50" w:rsidRPr="004C01BA" w:rsidRDefault="004C01BA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6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>Wprowadzenie w tematykę zajęć. Specyfika metod ilościowych w naukach społecznych. Etapy postępowania badawczego – przypomnienie. Plan badań ilościowych, pytania i hipotezy badawcze.</w:t>
            </w:r>
          </w:p>
          <w:p w14:paraId="4020302D" w14:textId="77777777" w:rsidR="004C01BA" w:rsidRPr="004C01BA" w:rsidRDefault="004C01BA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>Konceptualizacja, operacjonalizacja i pomiar.</w:t>
            </w:r>
          </w:p>
          <w:p w14:paraId="2DE50F88" w14:textId="77777777" w:rsidR="004C01BA" w:rsidRPr="0098209E" w:rsidRDefault="004C01BA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Cechy badań sondażowych. Zasady budowy kwestionariusza. Ankieta internetowa – zalety i wady.</w:t>
            </w:r>
          </w:p>
          <w:p w14:paraId="47919E6F" w14:textId="77777777" w:rsidR="0098209E" w:rsidRPr="0098209E" w:rsidRDefault="0098209E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Dobór próby w badaniach ilościowych. Analiza i interpretacja danych ilościowych.</w:t>
            </w:r>
          </w:p>
          <w:p w14:paraId="3877F3D9" w14:textId="77777777" w:rsidR="004C01BA" w:rsidRPr="0098209E" w:rsidRDefault="0098209E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Pilotaż kwestionariusza ankiety i realizacja badania.</w:t>
            </w:r>
          </w:p>
          <w:p w14:paraId="6CD29868" w14:textId="77777777" w:rsidR="0098209E" w:rsidRPr="0098209E" w:rsidRDefault="0098209E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6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Opracowanie zebranych danych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662DC00B" w14:textId="77777777" w:rsidR="0098209E" w:rsidRPr="004C01BA" w:rsidRDefault="0098209E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6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Wstępna analiza wyników. Podsumowanie zajęć.</w:t>
            </w:r>
          </w:p>
        </w:tc>
      </w:tr>
    </w:tbl>
    <w:p w14:paraId="5CBC43F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D8745B3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0989B301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02A4F214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0CE78C0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ED6C230" w14:textId="77777777">
        <w:trPr>
          <w:trHeight w:val="1098"/>
        </w:trPr>
        <w:tc>
          <w:tcPr>
            <w:tcW w:w="9622" w:type="dxa"/>
          </w:tcPr>
          <w:p w14:paraId="29F3F38A" w14:textId="77777777" w:rsidR="00E03783" w:rsidRDefault="00E03783" w:rsidP="00E03783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58C3">
              <w:rPr>
                <w:rFonts w:ascii="Verdana" w:hAnsi="Verdana"/>
                <w:sz w:val="18"/>
                <w:szCs w:val="18"/>
              </w:rPr>
              <w:t>Babbie</w:t>
            </w:r>
            <w:proofErr w:type="spellEnd"/>
            <w:r w:rsidRPr="00C158C3">
              <w:rPr>
                <w:rFonts w:ascii="Verdana" w:hAnsi="Verdana"/>
                <w:sz w:val="18"/>
                <w:szCs w:val="18"/>
              </w:rPr>
              <w:t xml:space="preserve">, Earl. 2009. </w:t>
            </w:r>
            <w:r w:rsidRPr="00C158C3">
              <w:rPr>
                <w:rFonts w:ascii="Verdana" w:hAnsi="Verdana"/>
                <w:i/>
                <w:sz w:val="18"/>
                <w:szCs w:val="18"/>
              </w:rPr>
              <w:t xml:space="preserve">Podstawy badań społecznych. </w:t>
            </w:r>
            <w:r w:rsidRPr="00C158C3">
              <w:rPr>
                <w:rFonts w:ascii="Verdana" w:hAnsi="Verdana"/>
                <w:sz w:val="18"/>
                <w:szCs w:val="18"/>
              </w:rPr>
              <w:t>Warszawa: PWN.</w:t>
            </w:r>
          </w:p>
          <w:p w14:paraId="0ED2BD6F" w14:textId="77777777" w:rsidR="00E03783" w:rsidRPr="00717333" w:rsidRDefault="00E03783" w:rsidP="00E0378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 w:val="0"/>
              <w:rPr>
                <w:rFonts w:ascii="Verdana" w:hAnsi="Verdana"/>
                <w:sz w:val="18"/>
              </w:rPr>
            </w:pPr>
            <w:r w:rsidRPr="00717333">
              <w:rPr>
                <w:rFonts w:ascii="Verdana" w:hAnsi="Verdana"/>
                <w:sz w:val="18"/>
              </w:rPr>
              <w:t xml:space="preserve">Józefacka, Natalia M.; Kołek, Mateusz F; Arciszewska-Leszczuk Aleksandra. 2023. </w:t>
            </w:r>
            <w:r w:rsidRPr="00717333">
              <w:rPr>
                <w:rFonts w:ascii="Verdana" w:hAnsi="Verdana"/>
                <w:i/>
                <w:iCs/>
                <w:sz w:val="18"/>
              </w:rPr>
              <w:t xml:space="preserve">Metodologia i statystyka. Przewodnik naukowego turysty. </w:t>
            </w:r>
            <w:r w:rsidRPr="00717333">
              <w:rPr>
                <w:rFonts w:ascii="Verdana" w:hAnsi="Verdana"/>
                <w:sz w:val="18"/>
              </w:rPr>
              <w:t>Warszawa: Wydawnictwo Naukowe PWN.</w:t>
            </w:r>
            <w:r>
              <w:rPr>
                <w:rFonts w:ascii="Verdana" w:hAnsi="Verdana"/>
                <w:sz w:val="18"/>
              </w:rPr>
              <w:t xml:space="preserve"> [część 1 i 2]</w:t>
            </w:r>
          </w:p>
          <w:p w14:paraId="45B9FA6B" w14:textId="77777777" w:rsidR="00E03783" w:rsidRPr="00C158C3" w:rsidRDefault="00E03783" w:rsidP="00E03783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C158C3">
              <w:rPr>
                <w:rFonts w:ascii="Verdana" w:hAnsi="Verdana"/>
                <w:sz w:val="18"/>
                <w:szCs w:val="18"/>
              </w:rPr>
              <w:t xml:space="preserve">Siuda, Piotr (red.). 2016. </w:t>
            </w:r>
            <w:r w:rsidRPr="00C158C3">
              <w:rPr>
                <w:rFonts w:ascii="Verdana" w:hAnsi="Verdana"/>
                <w:i/>
                <w:sz w:val="18"/>
                <w:szCs w:val="18"/>
              </w:rPr>
              <w:t xml:space="preserve">Metody badań online. </w:t>
            </w:r>
            <w:r w:rsidRPr="00C158C3">
              <w:rPr>
                <w:rFonts w:ascii="Verdana" w:hAnsi="Verdana"/>
                <w:sz w:val="18"/>
                <w:szCs w:val="18"/>
              </w:rPr>
              <w:t>Wyd. Naukowe Katedra.</w:t>
            </w:r>
          </w:p>
          <w:p w14:paraId="0AC8A7B7" w14:textId="77777777" w:rsidR="00303F50" w:rsidRPr="004C01BA" w:rsidRDefault="00303F50" w:rsidP="00E03783">
            <w:pPr>
              <w:widowControl/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FE499C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FED6308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70FCF2A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0133A48" w14:textId="77777777">
        <w:trPr>
          <w:trHeight w:val="1112"/>
        </w:trPr>
        <w:tc>
          <w:tcPr>
            <w:tcW w:w="9622" w:type="dxa"/>
          </w:tcPr>
          <w:p w14:paraId="32F6258C" w14:textId="77777777" w:rsidR="0098209E" w:rsidRPr="0098209E" w:rsidRDefault="0098209E" w:rsidP="0098209E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 xml:space="preserve">Górniak, Jarosław. </w:t>
            </w:r>
            <w:proofErr w:type="spellStart"/>
            <w:r w:rsidRPr="0098209E">
              <w:rPr>
                <w:rFonts w:ascii="Verdana" w:hAnsi="Verdana"/>
                <w:sz w:val="18"/>
                <w:szCs w:val="18"/>
              </w:rPr>
              <w:t>Wachnicki</w:t>
            </w:r>
            <w:proofErr w:type="spellEnd"/>
            <w:r w:rsidRPr="0098209E">
              <w:rPr>
                <w:rFonts w:ascii="Verdana" w:hAnsi="Verdana"/>
                <w:sz w:val="18"/>
                <w:szCs w:val="18"/>
              </w:rPr>
              <w:t>, Janusz. 2010. Pierwsze kroki w analizie danych. Kraków: SPSS Polska, s. 95-142 (rozdziały 9-11), opcjonalnie rozdział 8.</w:t>
            </w:r>
          </w:p>
          <w:p w14:paraId="280B31EB" w14:textId="77777777" w:rsidR="00303F50" w:rsidRPr="0098209E" w:rsidRDefault="004C01BA" w:rsidP="0098209E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8209E">
              <w:rPr>
                <w:rFonts w:ascii="Verdana" w:hAnsi="Verdana"/>
                <w:sz w:val="18"/>
                <w:szCs w:val="18"/>
              </w:rPr>
              <w:t>Szlendak</w:t>
            </w:r>
            <w:proofErr w:type="spellEnd"/>
            <w:r w:rsidRPr="0098209E">
              <w:rPr>
                <w:rFonts w:ascii="Verdana" w:hAnsi="Verdana"/>
                <w:sz w:val="18"/>
                <w:szCs w:val="18"/>
              </w:rPr>
              <w:t xml:space="preserve"> Tomasz, Karwacki Arkadiusz. 2010. Koncepcja poziomicy – cudowne lekarstwo czy utopijna terapia? Studia Socjologiczne, 1(196), s. 35-67.</w:t>
            </w:r>
          </w:p>
          <w:p w14:paraId="5086D7D7" w14:textId="77777777" w:rsidR="004C01BA" w:rsidRDefault="004C01BA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CAFBA9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C95216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02FF06B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2A271DF3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39B4CE6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6EE52376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85EA75F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1247C79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66C000A2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43B0C0BF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678E532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A1A32E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A1E9E6E" w14:textId="77777777" w:rsidR="00303F50" w:rsidRDefault="00F64AC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4CC78249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EDF309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358A69E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AFCBC0F" w14:textId="1EB45945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2DCFA51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CDE07A8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0CD8896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A1C184C" w14:textId="67AF2B5C" w:rsidR="00303F50" w:rsidRDefault="003F48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0C30BC93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27BE60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6350E0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1C693C08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E8DC8E3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4BF19AF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24936F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DCDE316" w14:textId="6E3C93C3" w:rsidR="00303F50" w:rsidRDefault="003F48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05E61723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0609D16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57708B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29554E2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11F2C7B8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71245C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30AD74F" w14:textId="4D03F8A1" w:rsidR="00303F50" w:rsidRDefault="00A41F7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 w14:paraId="71790AF4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9E4A567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3AA25CD" w14:textId="62F6B0E4" w:rsidR="00303F50" w:rsidRDefault="00A41F7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14:paraId="4BA6188B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EAD1" w14:textId="77777777" w:rsidR="008E5C09" w:rsidRDefault="008E5C09">
      <w:r>
        <w:separator/>
      </w:r>
    </w:p>
  </w:endnote>
  <w:endnote w:type="continuationSeparator" w:id="0">
    <w:p w14:paraId="71C4E91D" w14:textId="77777777" w:rsidR="008E5C09" w:rsidRDefault="008E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0D47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7EEA2445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86789" w14:textId="77777777" w:rsidR="008E5C09" w:rsidRDefault="008E5C09">
      <w:r>
        <w:separator/>
      </w:r>
    </w:p>
  </w:footnote>
  <w:footnote w:type="continuationSeparator" w:id="0">
    <w:p w14:paraId="2A8B02A6" w14:textId="77777777" w:rsidR="008E5C09" w:rsidRDefault="008E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B4EE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EE0C39"/>
    <w:multiLevelType w:val="hybridMultilevel"/>
    <w:tmpl w:val="5706F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895"/>
    <w:multiLevelType w:val="hybridMultilevel"/>
    <w:tmpl w:val="179E8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F06E5"/>
    <w:multiLevelType w:val="hybridMultilevel"/>
    <w:tmpl w:val="0DCCB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B01BE"/>
    <w:multiLevelType w:val="hybridMultilevel"/>
    <w:tmpl w:val="F222BD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6C2018"/>
    <w:multiLevelType w:val="hybridMultilevel"/>
    <w:tmpl w:val="D17C4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A6640"/>
    <w:multiLevelType w:val="hybridMultilevel"/>
    <w:tmpl w:val="9710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209685">
    <w:abstractNumId w:val="0"/>
  </w:num>
  <w:num w:numId="2" w16cid:durableId="298387773">
    <w:abstractNumId w:val="1"/>
  </w:num>
  <w:num w:numId="3" w16cid:durableId="589314093">
    <w:abstractNumId w:val="7"/>
  </w:num>
  <w:num w:numId="4" w16cid:durableId="1645154838">
    <w:abstractNumId w:val="8"/>
  </w:num>
  <w:num w:numId="5" w16cid:durableId="188615363">
    <w:abstractNumId w:val="3"/>
  </w:num>
  <w:num w:numId="6" w16cid:durableId="164515255">
    <w:abstractNumId w:val="6"/>
  </w:num>
  <w:num w:numId="7" w16cid:durableId="939799145">
    <w:abstractNumId w:val="4"/>
  </w:num>
  <w:num w:numId="8" w16cid:durableId="821195190">
    <w:abstractNumId w:val="5"/>
  </w:num>
  <w:num w:numId="9" w16cid:durableId="735543284">
    <w:abstractNumId w:val="2"/>
  </w:num>
  <w:num w:numId="10" w16cid:durableId="365250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E16AB"/>
    <w:rsid w:val="00100620"/>
    <w:rsid w:val="00257A2E"/>
    <w:rsid w:val="00293D67"/>
    <w:rsid w:val="002D4485"/>
    <w:rsid w:val="00303F50"/>
    <w:rsid w:val="00333821"/>
    <w:rsid w:val="00334F8F"/>
    <w:rsid w:val="003A49DD"/>
    <w:rsid w:val="003E6885"/>
    <w:rsid w:val="003F48E7"/>
    <w:rsid w:val="00434CDD"/>
    <w:rsid w:val="0044050E"/>
    <w:rsid w:val="004C01BA"/>
    <w:rsid w:val="00533C41"/>
    <w:rsid w:val="005479C0"/>
    <w:rsid w:val="0058400A"/>
    <w:rsid w:val="006E0376"/>
    <w:rsid w:val="00700CD5"/>
    <w:rsid w:val="00716872"/>
    <w:rsid w:val="00827D3B"/>
    <w:rsid w:val="00847145"/>
    <w:rsid w:val="008B703C"/>
    <w:rsid w:val="008E5C09"/>
    <w:rsid w:val="009026FF"/>
    <w:rsid w:val="0098209E"/>
    <w:rsid w:val="00984C8D"/>
    <w:rsid w:val="009F04D7"/>
    <w:rsid w:val="00A35A93"/>
    <w:rsid w:val="00A41F7E"/>
    <w:rsid w:val="00A8544F"/>
    <w:rsid w:val="00C226BA"/>
    <w:rsid w:val="00C406F2"/>
    <w:rsid w:val="00D32FBE"/>
    <w:rsid w:val="00DB3679"/>
    <w:rsid w:val="00DE2A4C"/>
    <w:rsid w:val="00E03783"/>
    <w:rsid w:val="00E1778B"/>
    <w:rsid w:val="00E26253"/>
    <w:rsid w:val="00F4095F"/>
    <w:rsid w:val="00F6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13FCC"/>
  <w15:chartTrackingRefBased/>
  <w15:docId w15:val="{47031607-03B6-4C23-AF1D-EE7A2BF3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table" w:styleId="Tabela-Siatka">
    <w:name w:val="Table Grid"/>
    <w:basedOn w:val="Standardowy"/>
    <w:uiPriority w:val="59"/>
    <w:rsid w:val="004C01BA"/>
    <w:pPr>
      <w:spacing w:afterAutospacing="1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3783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4827</Characters>
  <Application>Microsoft Office Word</Application>
  <DocSecurity>0</DocSecurity>
  <Lines>84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2024-01-03T23:21:00Z</dcterms:created>
  <dcterms:modified xsi:type="dcterms:W3CDTF">2024-01-03T23:21:00Z</dcterms:modified>
</cp:coreProperties>
</file>