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8B2C" w14:textId="2BB08CBE" w:rsidR="00303F50" w:rsidRDefault="00303F50" w:rsidP="00827D3B">
      <w:pPr>
        <w:autoSpaceDE/>
        <w:jc w:val="right"/>
        <w:rPr>
          <w:rFonts w:ascii="Arial" w:hAnsi="Arial" w:cs="Arial"/>
          <w:i/>
          <w:sz w:val="22"/>
        </w:rPr>
      </w:pPr>
    </w:p>
    <w:p w14:paraId="5F8CD6F9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91FECF1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18D1B544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023B1C4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46791A8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44BB1A0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620990DF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6EA0790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B31013F" w14:textId="77777777" w:rsidR="00303F50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ludnościowe</w:t>
            </w:r>
          </w:p>
        </w:tc>
      </w:tr>
      <w:tr w:rsidR="00303F50" w14:paraId="53C94463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407A3B0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41F6742" w14:textId="77777777" w:rsidR="00303F50" w:rsidRPr="002F61E7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>Population studies</w:t>
            </w:r>
          </w:p>
        </w:tc>
      </w:tr>
    </w:tbl>
    <w:p w14:paraId="6B517C0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8E4D1F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00F1DB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EF49A60" w14:textId="77777777" w:rsidR="00827D3B" w:rsidRDefault="00E94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8D32FF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1E8BD7C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D575DB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BB270C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46DE266" w14:textId="77777777" w:rsidR="00827D3B" w:rsidRDefault="002F61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  <w:p w14:paraId="279D2031" w14:textId="2E6667AB" w:rsidR="00B610A6" w:rsidRDefault="00B610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</w:tc>
      </w:tr>
      <w:tr w:rsidR="00827D3B" w14:paraId="1B3E2355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A150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5C5F60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67D2D4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6BF84F4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9DE2C0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B4AD7B7" w14:textId="5B362E8E" w:rsidR="00827D3B" w:rsidRDefault="00EC6DE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142478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C35D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88B6C72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7CC59B6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59A5E2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E1BD3F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CA0837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4E0AEB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0554B444" w14:textId="77777777">
        <w:trPr>
          <w:trHeight w:val="1365"/>
        </w:trPr>
        <w:tc>
          <w:tcPr>
            <w:tcW w:w="9640" w:type="dxa"/>
          </w:tcPr>
          <w:p w14:paraId="1A9C9D8C" w14:textId="77777777" w:rsidR="00303F50" w:rsidRDefault="00187C31">
            <w:pPr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2"/>
                <w:szCs w:val="16"/>
              </w:rPr>
              <w:t>Kurs stanowi wprowadzenie do demografii społecznej, do zagadnień znajdujących się na styku zainteresowań socjologii i demografii (z naciskiem na socjologiczną interpretację zdarzeń i procesów demograficznych). W trakcie zajęć omówione zostaną następujące kwestie: podstawy teoretyczne oraz metodologiczne demografii; struktury demograficzne (struktura ludności według cech biologicznych); rodzina i gospodarstwo domowe jako podmiot zachowań demograficznych (tworzenie, rozpad oraz rekonstrukcja rodzin); reprodukcja ludności i warunkujące ją procesy ruchu naturalnego; stan zdrowia, zachorowalność i śmiertelność; uwarunkowania i konsekwencje migracji wewnętrznych i międzynarodowych; prognozy populacyjne oraz relacje między środowiskiem naturalnym a wzrostem demograficznym. Nacisk położony zostanie na kwestie takie jak: starzenie się społeczeństw europejskich, procesy przemian rodzin i gospodarstw domowych oraz migracji międzynarodowych, uwarunkowania i konsekwencje pandemii COVID-19. W centrum analizy procesów demograficznych znajdzie się Polska, jednak ukazane zostaną także tendencje i zróżnicowania globalne.</w:t>
            </w:r>
          </w:p>
        </w:tc>
      </w:tr>
    </w:tbl>
    <w:p w14:paraId="1D94553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E9607E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B927F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263F17C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9F40F9D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D80207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76A0950" w14:textId="77777777" w:rsidR="00303F50" w:rsidRPr="002F61E7" w:rsidRDefault="002F61E7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 w14:paraId="043FDDDD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307D3C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E552A2D" w14:textId="77777777"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 w14:paraId="437E54E8" w14:textId="77777777">
        <w:tc>
          <w:tcPr>
            <w:tcW w:w="1941" w:type="dxa"/>
            <w:shd w:val="clear" w:color="auto" w:fill="DBE5F1"/>
            <w:vAlign w:val="center"/>
          </w:tcPr>
          <w:p w14:paraId="212F25C7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8C90981" w14:textId="77777777"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</w:tbl>
    <w:p w14:paraId="608C273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BC9482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3E15AC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7646C1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292B80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1AB5F1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66C51E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48DA14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39F74B21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871867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63FB93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5B0C8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2B514A2" w14:textId="77777777">
        <w:trPr>
          <w:cantSplit/>
          <w:trHeight w:val="1838"/>
        </w:trPr>
        <w:tc>
          <w:tcPr>
            <w:tcW w:w="1979" w:type="dxa"/>
            <w:vMerge/>
          </w:tcPr>
          <w:p w14:paraId="5F09F18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B82A46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>Zna i rozumie główne problemy społeczne współczesnego społeczeństwa  polskiego</w:t>
            </w:r>
          </w:p>
          <w:p w14:paraId="7DE9C24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F2D3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6061735" w14:textId="77777777"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14:paraId="07E5768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900CD3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3121C57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ECCBAD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F280B5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E46F42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1F24A46" w14:textId="77777777">
        <w:trPr>
          <w:cantSplit/>
          <w:trHeight w:val="2116"/>
        </w:trPr>
        <w:tc>
          <w:tcPr>
            <w:tcW w:w="1985" w:type="dxa"/>
            <w:vMerge/>
          </w:tcPr>
          <w:p w14:paraId="78D6261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A7F7307" w14:textId="77777777"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14:paraId="166CC25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9360F" w14:textId="77777777"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Posiada umiejętność artykułowania i uzasadniania własnych poglądów przy użyciu specjalistycznej terminologii z zakresu socjologii </w:t>
            </w:r>
          </w:p>
          <w:p w14:paraId="104BDA35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FEE74A" w14:textId="77777777"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75FBD905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19E89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BC236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686A8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8AA61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D32CA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47181F9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7FEA1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E3E2F39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D44AB8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E7644B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A363FE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EB9BCDE" w14:textId="77777777">
        <w:trPr>
          <w:cantSplit/>
          <w:trHeight w:val="1984"/>
        </w:trPr>
        <w:tc>
          <w:tcPr>
            <w:tcW w:w="1985" w:type="dxa"/>
            <w:vMerge/>
          </w:tcPr>
          <w:p w14:paraId="12A6814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8BAB6B9" w14:textId="77777777"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14:paraId="4E008B9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7ABB3" w14:textId="77777777"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Potrafi uczestniczyć w przygotowaniu projektów społecznych, uwzględniając ich różne aspekty (np. ekonomiczne, polityczne) </w:t>
            </w:r>
          </w:p>
          <w:p w14:paraId="098299F8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596B73" w14:textId="77777777"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6B7C08FF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1FFF9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5A524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CF39A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A2426" w14:textId="77777777"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768F5C4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4D2E7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0DDAC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A059182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F7197" w14:textId="1E259B05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B5DE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60BDD9BD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2AC18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F30B1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A11DC8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554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654C39D7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E5714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DAFFC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3A3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C1295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0095A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1DFAF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D50B4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C1F159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8B6F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34496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4A96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D87345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EF1A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DD5FC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12F918A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853CC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1DE79C3" w14:textId="77777777"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1DA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AFDBE" w14:textId="77777777"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50C51F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4F30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FA1E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5FB1A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D080AC4" w14:textId="77777777">
        <w:trPr>
          <w:trHeight w:val="462"/>
        </w:trPr>
        <w:tc>
          <w:tcPr>
            <w:tcW w:w="1611" w:type="dxa"/>
            <w:vAlign w:val="center"/>
          </w:tcPr>
          <w:p w14:paraId="08EF19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7A875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2EDD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AE1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91776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2DE7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287F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9F799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1DF8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4BEAF1B" w14:textId="77777777" w:rsidR="00DB5DE4" w:rsidRDefault="00DB5DE4" w:rsidP="00DB5DE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DE4" w14:paraId="45733B7E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0810A" w14:textId="258B0B01" w:rsidR="00DB5DE4" w:rsidRDefault="00DB5DE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B5DE4" w14:paraId="7707C1C1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0BE28F6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A365D8D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2AFD18D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6D435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DE4" w14:paraId="1EEE7F3B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FA0F468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CCD3E2E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7430D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534297C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D2832C5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A30764C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0372D6E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FD6BD6A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2D46EE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006CD83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06E524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3918C05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B54B8D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3200863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14:paraId="76E45C42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E93CCEE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7299FC6" w14:textId="4D5927A3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35C8D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25D1A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639A53AF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8944FB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2813F2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1FEAF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14:paraId="352FCD63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31B44444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BABBAF1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FB260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AEC68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FAC4254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793D3F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2F8495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FE3B24" w14:textId="77777777"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E72BCE" w14:textId="77777777" w:rsidR="00DB5DE4" w:rsidRDefault="00DB5DE4" w:rsidP="00DB5DE4">
      <w:pPr>
        <w:pStyle w:val="Zawartotabeli"/>
        <w:rPr>
          <w:rFonts w:ascii="Arial" w:hAnsi="Arial" w:cs="Arial"/>
          <w:sz w:val="22"/>
          <w:szCs w:val="16"/>
        </w:rPr>
      </w:pPr>
    </w:p>
    <w:p w14:paraId="7DF1EA83" w14:textId="77777777" w:rsidR="00DB5DE4" w:rsidRDefault="00DB5DE4">
      <w:pPr>
        <w:pStyle w:val="Zawartotabeli"/>
        <w:rPr>
          <w:rFonts w:ascii="Arial" w:hAnsi="Arial" w:cs="Arial"/>
          <w:sz w:val="22"/>
          <w:szCs w:val="16"/>
        </w:rPr>
      </w:pPr>
    </w:p>
    <w:p w14:paraId="1F397EE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BC678F2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81AE6F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DB18093" w14:textId="77777777">
        <w:trPr>
          <w:trHeight w:val="1920"/>
        </w:trPr>
        <w:tc>
          <w:tcPr>
            <w:tcW w:w="9622" w:type="dxa"/>
          </w:tcPr>
          <w:p w14:paraId="0B1C09D2" w14:textId="77777777" w:rsidR="00303F50" w:rsidRDefault="002C6BD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 trakcie wykładów omawiane są zagadnienia składające się na zakres przedmiotowy kursu, z wykorzystaniem prezentacji, krótkich materiałów wideo itp. Studenci mają także możliwość uczestniczenia w dyskusji dotyczącej tych zagadnień. W trakcie ćwiczeń studenci wykonują zadania polegające na opracowaniu danych demograficznych, studiów przypadku itp. Realizują projekt polegający na przygotowaniu i zaprezentowaniu piramidy ludnościowej dla wybranej miejscowości/gminy w Polsce oraz opracowują referat w oparciu o zadaną literaturę.</w:t>
            </w:r>
          </w:p>
        </w:tc>
      </w:tr>
    </w:tbl>
    <w:p w14:paraId="2D9E659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0AC11B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42FAA3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3A1BD9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2AF847C9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EF26F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5B4AB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F36704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67D770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64C4CB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26F38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59319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D187B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5040F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3D9E4A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925C41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E0961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AEA2A1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5CE63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016FFECB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1E6BD45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5BF7ABF9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8D5A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CB5D0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BDB0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35D7E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A8DB24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EBB138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0FAA1F6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A24346E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09FC46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2AE92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3F993E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E6C7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80E763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08E71E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3B3D786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600E9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1D7C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3257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61A0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69CC5F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6D24DC7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FE8908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BDBEB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E731A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6869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979BD8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4285A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7CCCDE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DA034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FBDB3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A30D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397D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87CB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9435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D415C2" w14:textId="77777777"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85393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4723C1" w14:textId="77777777"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93365B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3D2566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9925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802D82" w14:textId="77777777"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C5EB1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323657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703CC3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7BD534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2FF4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C59C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0F5F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BCC64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0EDF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AD28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04D118" w14:textId="77777777"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D64B7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21A65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AC4C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FDDB0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C9648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955438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FF87AD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A8C68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80A0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9655A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5FBC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D36C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EB2EA8" w14:textId="77777777"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69B11C" w14:textId="77777777"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BC3C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47C8A2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8CBF4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6124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CE8B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C2918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70D725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9E779C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0376D6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96A6A4E" w14:textId="77777777">
        <w:tc>
          <w:tcPr>
            <w:tcW w:w="1941" w:type="dxa"/>
            <w:shd w:val="clear" w:color="auto" w:fill="DBE5F1"/>
            <w:vAlign w:val="center"/>
          </w:tcPr>
          <w:p w14:paraId="496E00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1C0CC204" w14:textId="77777777" w:rsidR="00187C31" w:rsidRPr="00187C31" w:rsidRDefault="00303F50" w:rsidP="00187C3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187C31" w:rsidRPr="00187C31">
              <w:rPr>
                <w:rFonts w:ascii="Arial" w:hAnsi="Arial" w:cs="Arial"/>
                <w:sz w:val="20"/>
                <w:szCs w:val="14"/>
              </w:rPr>
              <w:t xml:space="preserve">Na ocenę końcową składają się następujące elementy: </w:t>
            </w:r>
          </w:p>
          <w:p w14:paraId="307BC55B" w14:textId="77777777"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aktywny udział w zajęciach, w tym przygotowanie zadań na poszczególne zajęcia (możliwe kolokwium na początku zajęć):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końcowej;</w:t>
            </w:r>
            <w:r w:rsidRPr="00187C31">
              <w:rPr>
                <w:rFonts w:ascii="Arial" w:hAnsi="Arial" w:cs="Arial"/>
                <w:sz w:val="20"/>
                <w:szCs w:val="14"/>
              </w:rPr>
              <w:t xml:space="preserve"> </w:t>
            </w:r>
          </w:p>
          <w:p w14:paraId="174F0CDA" w14:textId="77777777"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wykonanie i zaprezentowanie na zajęciach projektu: „Piramida wieku”, wraz z opisem –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40% oceny końcowej</w:t>
            </w:r>
            <w:r w:rsidRPr="00187C31">
              <w:rPr>
                <w:rFonts w:ascii="Arial" w:hAnsi="Arial" w:cs="Arial"/>
                <w:sz w:val="20"/>
                <w:szCs w:val="14"/>
              </w:rPr>
              <w:t>;</w:t>
            </w:r>
          </w:p>
          <w:p w14:paraId="4EACC409" w14:textId="77777777"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przygotowanie referatu na podany temat: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</w:t>
            </w:r>
          </w:p>
          <w:p w14:paraId="54E979FD" w14:textId="77777777"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b/>
                <w:sz w:val="20"/>
                <w:szCs w:val="14"/>
              </w:rPr>
            </w:pPr>
            <w:r w:rsidRPr="00187C31">
              <w:rPr>
                <w:rFonts w:ascii="Arial" w:hAnsi="Arial" w:cs="Arial"/>
                <w:b/>
                <w:sz w:val="20"/>
                <w:szCs w:val="14"/>
              </w:rPr>
              <w:t>Egzamin</w:t>
            </w:r>
          </w:p>
          <w:p w14:paraId="1BF9CE42" w14:textId="77777777" w:rsidR="00303F50" w:rsidRDefault="00187C3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>Egzamin z zagadnień poruszanych na wykładach i rozwijanych na ćwiczeniach będzie miał formę pisemną – test z przewagą pytań otwartych. Ocena bardzo dobra z konwersatorium wpływa na podniesienie oceny z egzaminu o pół stopnia (pod warunkiem uzyskania z egzaminu oceny co najmniej dobrej).</w:t>
            </w:r>
          </w:p>
        </w:tc>
      </w:tr>
    </w:tbl>
    <w:p w14:paraId="627D123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331C18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88F45DE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6DAD659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45E010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455B3F11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B78358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AB759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CBA029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7FCC317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4DE194B" w14:textId="77777777">
        <w:trPr>
          <w:trHeight w:val="1136"/>
        </w:trPr>
        <w:tc>
          <w:tcPr>
            <w:tcW w:w="9622" w:type="dxa"/>
          </w:tcPr>
          <w:p w14:paraId="579283A3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Ludność świata – podstawowe dane demograficzne (rozmieszczenie, struktura, tendencje w zakresie rozwoju charakterystyki demograficznej ludności świata).</w:t>
            </w:r>
          </w:p>
          <w:p w14:paraId="2AD0E327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Źródła danych o ludności (ze szczególnym naciskiem na spisy ludności – wyjątkowość na tle innych badań społecznych, sposoby realizacji, zakres danych gromadzonych w spisach itp.; istota metody pełnej i reprezentacyjnej).</w:t>
            </w:r>
          </w:p>
          <w:p w14:paraId="2AA707F7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poprzeczna i wzdłużna, konstrukcja miar demograficznych.</w:t>
            </w:r>
          </w:p>
          <w:p w14:paraId="64E95C6E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rozrodczości – podstawowe pojęcia i miary; tendencje w zakresie rozrodczości w Polsce po II wojnie światowej i na świecie; uwarunkowania rozrodczości.</w:t>
            </w:r>
          </w:p>
          <w:p w14:paraId="678BCFA9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Koncepcja T. Malthusa. Maltuzjanizm i neomaltuzjanizm.</w:t>
            </w:r>
          </w:p>
          <w:p w14:paraId="79AA6F37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Przejście demograficzne (pierwsze i drugie) – istota i uwarunkowania.</w:t>
            </w:r>
          </w:p>
          <w:p w14:paraId="1A79959B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umieralności – podstawowe pojęcia i miary; charakterystyka wzorów umieralności (m.in. według przyczyn) w Polsce, tendencje międzynarodowe; uwarunkowania umieralności. Przejście epidemiologiczne.</w:t>
            </w:r>
            <w:r>
              <w:rPr>
                <w:rFonts w:ascii="Arial" w:hAnsi="Arial" w:cs="Arial"/>
                <w:sz w:val="20"/>
                <w:szCs w:val="20"/>
              </w:rPr>
              <w:t xml:space="preserve"> Uwarunkowania i konsekwencje pandemii COVID-19.</w:t>
            </w:r>
          </w:p>
          <w:p w14:paraId="456D2244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 xml:space="preserve">Małżeństwo i rodzina – znaczenie dla analizy demograficznej. Podstawowe tendencje dotyczące procesu zawierania i rozpadu małżeństw współcześnie. </w:t>
            </w:r>
          </w:p>
          <w:p w14:paraId="06C86512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międzynarodowe – uwarunkowania i konsekwencje.</w:t>
            </w:r>
          </w:p>
          <w:p w14:paraId="50DA1943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w Polsce po roku 1989 – kierunki, rozmiary, uwarunkowania i konsekwencje.</w:t>
            </w:r>
          </w:p>
          <w:p w14:paraId="5A08023E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Struktura ludności według wieku i płci – podstawowe miary; piramida ludności jako narzędzie analizy struktury według wieku i płci; uwarunkowania i skutki.</w:t>
            </w:r>
          </w:p>
          <w:p w14:paraId="004AFBBD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Istota współczesnych zmian klimatu i ich wpływ na społeczeństwa.</w:t>
            </w:r>
          </w:p>
          <w:p w14:paraId="57A834C3" w14:textId="77777777"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Rozwój liczby ludności w kontekście dostępnych zasobów. Głód i niedożywienie na świecie.</w:t>
            </w:r>
          </w:p>
          <w:p w14:paraId="6AFCF208" w14:textId="77777777"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577CF37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F93FB6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B21B2CF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76D56EC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2C6BD3" w14:paraId="3AF10482" w14:textId="77777777">
        <w:trPr>
          <w:trHeight w:val="1098"/>
        </w:trPr>
        <w:tc>
          <w:tcPr>
            <w:tcW w:w="9622" w:type="dxa"/>
          </w:tcPr>
          <w:p w14:paraId="75090391" w14:textId="77777777"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</w:rPr>
              <w:t>Materiały źródłowe:</w:t>
            </w:r>
          </w:p>
          <w:p w14:paraId="75DAC1FE" w14:textId="77777777"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Demograficzny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14:paraId="645111E6" w14:textId="77777777"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Statystyczny 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14:paraId="1528A2A9" w14:textId="77777777"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Strona internetowa Głównego Urzędu Statystycznego (stat.gov.pl), Eurostatu, ONZ i OECD, Ośrodka Badań nad Migracjami (</w:t>
            </w:r>
            <w:hyperlink r:id="rId11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www.migracje.uw.edu.pl</w:t>
              </w:r>
            </w:hyperlink>
            <w:r w:rsidRPr="002C6BD3">
              <w:rPr>
                <w:rFonts w:ascii="Arial" w:hAnsi="Arial" w:cs="Arial"/>
                <w:sz w:val="20"/>
                <w:szCs w:val="14"/>
              </w:rPr>
              <w:t>)</w:t>
            </w:r>
          </w:p>
          <w:p w14:paraId="52F4FBC5" w14:textId="77777777"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i/>
                <w:iCs/>
                <w:sz w:val="20"/>
                <w:szCs w:val="14"/>
                <w:lang w:val="en-US"/>
              </w:rPr>
              <w:t xml:space="preserve">World Population Prospects: </w:t>
            </w:r>
            <w:hyperlink r:id="rId12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https://population.un.org/wpp/</w:t>
              </w:r>
            </w:hyperlink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 </w:t>
            </w:r>
          </w:p>
          <w:p w14:paraId="1B6B8E42" w14:textId="77777777"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  <w:lang w:val="en-US"/>
              </w:rPr>
            </w:pPr>
          </w:p>
          <w:p w14:paraId="083D3DB7" w14:textId="77777777"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https://www.gapminder.org/</w:t>
            </w:r>
          </w:p>
          <w:p w14:paraId="307550C0" w14:textId="77777777"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  <w:p w14:paraId="1FA7A33A" w14:textId="77777777"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Podręcznik:</w:t>
            </w:r>
          </w:p>
          <w:p w14:paraId="7D2DBADD" w14:textId="77777777" w:rsid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Okólski Marek, Fihel Agnieszka. 2012.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Demografia. Współczesne zjawiska i teorie.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Scholar.</w:t>
            </w:r>
          </w:p>
          <w:p w14:paraId="5E66A579" w14:textId="77777777" w:rsidR="001A38EC" w:rsidRPr="001A38EC" w:rsidRDefault="001A38EC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>
              <w:rPr>
                <w:rFonts w:ascii="Arial" w:hAnsi="Arial" w:cs="Arial"/>
                <w:bCs/>
                <w:sz w:val="20"/>
                <w:szCs w:val="14"/>
              </w:rPr>
              <w:t xml:space="preserve">Stokowski, Franciszek. 2019.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14"/>
              </w:rPr>
              <w:t xml:space="preserve">Demografia. </w:t>
            </w:r>
            <w:r>
              <w:rPr>
                <w:rFonts w:ascii="Arial" w:hAnsi="Arial" w:cs="Arial"/>
                <w:bCs/>
                <w:sz w:val="20"/>
                <w:szCs w:val="14"/>
              </w:rPr>
              <w:t>Warszawa: PWE (wydanie II zmienione)</w:t>
            </w:r>
          </w:p>
          <w:p w14:paraId="22E6F018" w14:textId="77777777" w:rsidR="002C6BD3" w:rsidRPr="002C6BD3" w:rsidRDefault="002C6BD3" w:rsidP="002C6BD3">
            <w:pPr>
              <w:ind w:left="720"/>
              <w:rPr>
                <w:rFonts w:ascii="Arial" w:hAnsi="Arial" w:cs="Arial"/>
                <w:b/>
                <w:sz w:val="20"/>
                <w:szCs w:val="14"/>
              </w:rPr>
            </w:pPr>
          </w:p>
          <w:p w14:paraId="10959A18" w14:textId="77777777"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Literatura do referatów:</w:t>
            </w:r>
          </w:p>
          <w:p w14:paraId="5645483C" w14:textId="77777777" w:rsidR="00303F50" w:rsidRPr="00F13C53" w:rsidRDefault="002C6BD3" w:rsidP="00F13C5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Rosling, Hans. 2018.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Factfulness. Dlaczego świat jest lepszy, niż myślimy, czyli jak stereotypy zastąpić realną wiedzą.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Media Rodzina.</w:t>
            </w:r>
          </w:p>
        </w:tc>
      </w:tr>
    </w:tbl>
    <w:p w14:paraId="4B46B97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3467DB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252EEF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2C6BD3" w14:paraId="5CB83DCE" w14:textId="77777777" w:rsidTr="00F13C53">
        <w:trPr>
          <w:trHeight w:val="3548"/>
        </w:trPr>
        <w:tc>
          <w:tcPr>
            <w:tcW w:w="9640" w:type="dxa"/>
          </w:tcPr>
          <w:p w14:paraId="72A646D4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Fihel, Agnieszka. 2015. Wpływ czasowych migracji zagranicznych na perspektywy demograficzne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Wiadomości Statystyczne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7 (650), s. 74-89.</w:t>
            </w:r>
          </w:p>
          <w:p w14:paraId="6FF82FC5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Fihel, Agnieszka; Kiełkowska, Marta; Radziwinowiczówna, Agnieszka. 2017. Determinanty spadku płodności w Polsce – próba syntezy.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Demograficzne,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2(172)</w:t>
            </w:r>
          </w:p>
          <w:p w14:paraId="1F4D830B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Górny, Agata; Kołodziejczyk, Katarzyna; Madej, Karolina; Kaczmarczyk, Paweł. 2019. Nowe obszary docelowe w migracji z Ukrainy do Polski. Przypadek Bydgoszczy i Wrocławia na tle innych miast. </w:t>
            </w:r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CMR Working Papers 118(176), [online:] </w:t>
            </w:r>
            <w:hyperlink r:id="rId13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http://www.migracje.uw.edu.pl/publikacje/nowe-obszary-docelowe-w-migracji-z-ukrainy-do-polski-przypadek-bydgoszczy-i-wroclawia-na-tle-innych-miast</w:t>
              </w:r>
            </w:hyperlink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 </w:t>
            </w:r>
          </w:p>
          <w:p w14:paraId="7BA8F4D0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GUS 2018. Cudzoziemcy na krajowym rynku pracy w ujęciu regionalnym. Warszawa: Główny Urząd Statystyczny. [online:] </w:t>
            </w:r>
            <w:hyperlink r:id="rId14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https://stat.gov.pl/files/gfx/portalinformacyjny/pl/defaultstronaopisowa/6149/1/1/cudzoziemcy_na_krajowym_rynku_pracy_w_ujeciu_regionalnym-raport.pdf</w:t>
              </w:r>
            </w:hyperlink>
            <w:r w:rsidRPr="002C6BD3">
              <w:rPr>
                <w:rFonts w:ascii="Arial" w:hAnsi="Arial" w:cs="Arial"/>
                <w:sz w:val="20"/>
                <w:szCs w:val="14"/>
              </w:rPr>
              <w:t xml:space="preserve"> </w:t>
            </w:r>
          </w:p>
          <w:p w14:paraId="1BC4DC21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Holzer J.Z.: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Demografia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2003</w:t>
            </w:r>
          </w:p>
          <w:p w14:paraId="6A3DAE89" w14:textId="77777777"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2012. Spis powszechny jako źródło informacji o ludności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4, s. 87-107.</w:t>
            </w:r>
          </w:p>
          <w:p w14:paraId="5B5DA1B9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2014. Wzrost demograficzny a perspektywy wyżywienia ludności świata : zarys problemu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 Studia Sociologica</w:t>
            </w:r>
            <w:r w:rsidRPr="002C6BD3">
              <w:rPr>
                <w:rFonts w:ascii="Arial" w:hAnsi="Arial" w:cs="Arial"/>
                <w:sz w:val="20"/>
                <w:szCs w:val="14"/>
              </w:rPr>
              <w:t>, z. 6, vol. 2, s. 156-171.</w:t>
            </w:r>
          </w:p>
          <w:p w14:paraId="32121BE3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Matysiak, Anna (red.). 2014.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Nowe wzorce formowania i rozwoju rodziny w Polsce. Przyczyny oraz wpływ na zadowolenie z życia. </w:t>
            </w:r>
            <w:r w:rsidRPr="002C6BD3">
              <w:rPr>
                <w:rFonts w:ascii="Arial" w:hAnsi="Arial" w:cs="Arial"/>
                <w:sz w:val="20"/>
                <w:szCs w:val="14"/>
              </w:rPr>
              <w:t>Warszawa: Scholar</w:t>
            </w:r>
          </w:p>
          <w:p w14:paraId="7BC49998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Okólski, Marek. 2010. Wyzwania demograficzne Europy i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4(199), s. 37-78.</w:t>
            </w:r>
          </w:p>
          <w:p w14:paraId="40455D05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Oręziak, Leokadia. 2012.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OFE w Polsce – produkt ekspansji globalnych instytucji finansowych. 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„Polityka Społeczna”, nr 11-12. </w:t>
            </w:r>
          </w:p>
          <w:p w14:paraId="400E6BF2" w14:textId="77777777" w:rsidR="002F61E7" w:rsidRPr="002F61E7" w:rsidRDefault="002F61E7" w:rsidP="002F61E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2006. Zagrożenie czy wyzwanie - proces starzenia się ludności.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Polityka Społeczna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, 9, s. 6-9. </w:t>
            </w:r>
          </w:p>
          <w:p w14:paraId="045008AC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2014. Charakterystyka związków kohabitacyjnych we współczesnej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8 (639), s. 62-74.</w:t>
            </w:r>
          </w:p>
          <w:p w14:paraId="0D69553A" w14:textId="77777777"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2015. Przestrzenne zróżnicowanie dzietności w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4 (647), s. 13-27.</w:t>
            </w:r>
          </w:p>
          <w:p w14:paraId="1CF74207" w14:textId="77777777"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Ślusarczyk Magdalena, Slany Krystyna. 2016. Demograficzne i socjologiczne implikacje wyjazdów z Polski. Dyskusja na bazie wyników Narodowego Spisu Powszechnego z 2011 roku.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Migracyjne – Przegląd Polonijny, </w:t>
            </w:r>
            <w:r w:rsidRPr="002C6BD3">
              <w:rPr>
                <w:rFonts w:ascii="Arial" w:hAnsi="Arial" w:cs="Arial"/>
                <w:sz w:val="20"/>
                <w:szCs w:val="14"/>
              </w:rPr>
              <w:t>1(159), s. 127-150.</w:t>
            </w:r>
          </w:p>
          <w:p w14:paraId="54ACC39C" w14:textId="77777777" w:rsidR="00F16B10" w:rsidRPr="002C6BD3" w:rsidRDefault="00F16B10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F16B10">
              <w:rPr>
                <w:rFonts w:ascii="Arial" w:hAnsi="Arial" w:cs="Arial"/>
                <w:sz w:val="20"/>
                <w:szCs w:val="14"/>
              </w:rPr>
              <w:t>Tymicki, Krzysztof. 2021. Wykorzystanie teorii klas społecznych do analizy zachowań i postaw związanych z prokreacją i rolami płci. „Studia Demograficzne”, 2(180), s. 33-65. DOI: 10.33119/SD.2021.2.2</w:t>
            </w:r>
          </w:p>
          <w:p w14:paraId="02D912F0" w14:textId="77777777" w:rsidR="00303F50" w:rsidRPr="002C6BD3" w:rsidRDefault="00303F50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2327DFA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BBF6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D9C3F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313F52F0" w14:textId="5648D60A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E3B26">
        <w:rPr>
          <w:rFonts w:ascii="Arial" w:hAnsi="Arial" w:cs="Arial"/>
          <w:sz w:val="22"/>
        </w:rPr>
        <w:t xml:space="preserve"> – studia stacjonarne </w:t>
      </w:r>
    </w:p>
    <w:p w14:paraId="655D9F3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AAECD14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3B225F9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74679A3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5954617" w14:textId="77777777"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3B7B506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EFE413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B19E49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B62E1C0" w14:textId="77777777"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204285E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C7539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DDF4E40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AC9F18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9B8EDB6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317D6EB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49CD3B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F729487" w14:textId="77777777"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42B67DF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68443E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B2D8DC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DA58A46" w14:textId="77777777"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66CD134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E0C359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570C42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2223EB9" w14:textId="77777777"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5BF8CE15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4695CF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92139B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AAFF939" w14:textId="77777777"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1C6EC4F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306D55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8326E86" w14:textId="77777777"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303F50" w14:paraId="5E3CEF1A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7648689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68A2F14" w14:textId="52A4AB5A" w:rsidR="00303F50" w:rsidRDefault="004E3B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14:paraId="62AD944E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9AA2558" w14:textId="72AB2C72" w:rsidR="004E3B26" w:rsidRDefault="004E3B26" w:rsidP="004E3B2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F5A50">
        <w:rPr>
          <w:rFonts w:ascii="Arial" w:hAnsi="Arial" w:cs="Arial"/>
          <w:sz w:val="22"/>
        </w:rPr>
        <w:t xml:space="preserve"> – studia niestacjonarne </w:t>
      </w:r>
    </w:p>
    <w:p w14:paraId="5F675977" w14:textId="77777777" w:rsidR="004E3B26" w:rsidRDefault="004E3B26" w:rsidP="004E3B2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4E3B26" w14:paraId="4A027B7E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AE0026C" w14:textId="77777777"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1EC9BB0F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C19EF6A" w14:textId="40127C43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E3B26" w14:paraId="27393493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C485D46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F2F31BA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0938A9B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14:paraId="0761230D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8A2C431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74D6F01" w14:textId="77777777" w:rsidR="004E3B26" w:rsidRDefault="004E3B2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0A86615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E3B26" w14:paraId="563A3024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48A6118" w14:textId="77777777"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BBBB87A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BA0E33C" w14:textId="1170B24B"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14:paraId="5FBBAF97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155A987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55485B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8C59A42" w14:textId="3557863F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F5A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E3B26" w14:paraId="33096939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E4C16FC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81AA74E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1910214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4E3B26" w14:paraId="44377BCD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166CC7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657CEB1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1A14DEF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14:paraId="25A7920D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F95473C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CDA8185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4E3B26" w14:paraId="426ED1AD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89AC22F" w14:textId="77777777"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4184729" w14:textId="03011CBA"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14:paraId="306EB543" w14:textId="77777777" w:rsidR="004E3B26" w:rsidRDefault="004E3B26" w:rsidP="004E3B26">
      <w:pPr>
        <w:pStyle w:val="Tekstdymka1"/>
        <w:rPr>
          <w:rFonts w:ascii="Arial" w:hAnsi="Arial" w:cs="Arial"/>
          <w:sz w:val="22"/>
        </w:rPr>
      </w:pPr>
    </w:p>
    <w:p w14:paraId="2F0C65CD" w14:textId="77777777" w:rsidR="004E3B26" w:rsidRDefault="004E3B26">
      <w:pPr>
        <w:pStyle w:val="Tekstdymka1"/>
        <w:rPr>
          <w:rFonts w:ascii="Arial" w:hAnsi="Arial" w:cs="Arial"/>
          <w:sz w:val="22"/>
        </w:rPr>
      </w:pPr>
    </w:p>
    <w:sectPr w:rsidR="004E3B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5765" w14:textId="77777777" w:rsidR="00AE1260" w:rsidRDefault="00AE1260">
      <w:r>
        <w:separator/>
      </w:r>
    </w:p>
  </w:endnote>
  <w:endnote w:type="continuationSeparator" w:id="0">
    <w:p w14:paraId="1A2E5CF0" w14:textId="77777777" w:rsidR="00AE1260" w:rsidRDefault="00AE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F388" w14:textId="77777777" w:rsidR="00303F50" w:rsidRDefault="00303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DCD5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940DD">
      <w:rPr>
        <w:noProof/>
      </w:rPr>
      <w:t>4</w:t>
    </w:r>
    <w:r>
      <w:fldChar w:fldCharType="end"/>
    </w:r>
  </w:p>
  <w:p w14:paraId="3499BFAE" w14:textId="77777777"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E3A1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A382" w14:textId="77777777" w:rsidR="00AE1260" w:rsidRDefault="00AE1260">
      <w:r>
        <w:separator/>
      </w:r>
    </w:p>
  </w:footnote>
  <w:footnote w:type="continuationSeparator" w:id="0">
    <w:p w14:paraId="7B97697E" w14:textId="77777777" w:rsidR="00AE1260" w:rsidRDefault="00AE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FB5B" w14:textId="77777777" w:rsidR="00303F50" w:rsidRDefault="00303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6973" w14:textId="77777777"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DEBE" w14:textId="77777777" w:rsidR="00303F50" w:rsidRDefault="00303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6C84332"/>
    <w:multiLevelType w:val="hybridMultilevel"/>
    <w:tmpl w:val="B240B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473EC"/>
    <w:multiLevelType w:val="hybridMultilevel"/>
    <w:tmpl w:val="E8C4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3C"/>
    <w:multiLevelType w:val="hybridMultilevel"/>
    <w:tmpl w:val="1432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0235"/>
    <w:multiLevelType w:val="hybridMultilevel"/>
    <w:tmpl w:val="BBC4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906743">
    <w:abstractNumId w:val="0"/>
  </w:num>
  <w:num w:numId="2" w16cid:durableId="1646278823">
    <w:abstractNumId w:val="1"/>
  </w:num>
  <w:num w:numId="3" w16cid:durableId="798955239">
    <w:abstractNumId w:val="5"/>
  </w:num>
  <w:num w:numId="4" w16cid:durableId="1343437808">
    <w:abstractNumId w:val="7"/>
  </w:num>
  <w:num w:numId="5" w16cid:durableId="582029111">
    <w:abstractNumId w:val="3"/>
  </w:num>
  <w:num w:numId="6" w16cid:durableId="1787313887">
    <w:abstractNumId w:val="2"/>
  </w:num>
  <w:num w:numId="7" w16cid:durableId="1098990440">
    <w:abstractNumId w:val="6"/>
  </w:num>
  <w:num w:numId="8" w16cid:durableId="65858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27707"/>
    <w:rsid w:val="00100620"/>
    <w:rsid w:val="00187C31"/>
    <w:rsid w:val="001A38EC"/>
    <w:rsid w:val="0026408E"/>
    <w:rsid w:val="002C6BD3"/>
    <w:rsid w:val="002F61E7"/>
    <w:rsid w:val="00303F50"/>
    <w:rsid w:val="00434CDD"/>
    <w:rsid w:val="004E3B26"/>
    <w:rsid w:val="0053144D"/>
    <w:rsid w:val="00533C41"/>
    <w:rsid w:val="006C79D1"/>
    <w:rsid w:val="00700CD5"/>
    <w:rsid w:val="00716872"/>
    <w:rsid w:val="00827D3B"/>
    <w:rsid w:val="00847145"/>
    <w:rsid w:val="008B703C"/>
    <w:rsid w:val="009026FF"/>
    <w:rsid w:val="00936915"/>
    <w:rsid w:val="00985573"/>
    <w:rsid w:val="00A32093"/>
    <w:rsid w:val="00A35A93"/>
    <w:rsid w:val="00A8544F"/>
    <w:rsid w:val="00AE1260"/>
    <w:rsid w:val="00B07BFB"/>
    <w:rsid w:val="00B610A6"/>
    <w:rsid w:val="00C406F2"/>
    <w:rsid w:val="00C83CD2"/>
    <w:rsid w:val="00CF0D0C"/>
    <w:rsid w:val="00CF5A50"/>
    <w:rsid w:val="00D32FBE"/>
    <w:rsid w:val="00D75AC2"/>
    <w:rsid w:val="00D940DD"/>
    <w:rsid w:val="00DB3679"/>
    <w:rsid w:val="00DB5DE4"/>
    <w:rsid w:val="00DC4FDC"/>
    <w:rsid w:val="00DE2A4C"/>
    <w:rsid w:val="00E1778B"/>
    <w:rsid w:val="00E9481B"/>
    <w:rsid w:val="00EC6DE1"/>
    <w:rsid w:val="00F13C53"/>
    <w:rsid w:val="00F16B10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BB79F"/>
  <w15:chartTrackingRefBased/>
  <w15:docId w15:val="{23CD629A-CCFD-41C9-A725-88A3C364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Hipercze">
    <w:name w:val="Hyperlink"/>
    <w:uiPriority w:val="99"/>
    <w:unhideWhenUsed/>
    <w:rsid w:val="002C6BD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C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acje.uw.edu.pl/publikacje/nowe-obszary-docelowe-w-migracji-z-ukrainy-do-polski-przypadek-bydgoszczy-i-wroclawia-na-tle-innych-mia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pulation.un.org/wp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gracje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.gov.pl/files/gfx/portalinformacyjny/pl/defaultstronaopisowa/6149/1/1/cudzoziemcy_na_krajowym_rynku_pracy_w_ujeciu_regionalnym-rapor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D88CF-BD2F-4559-834F-21DBE2B57F7D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customXml/itemProps2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11032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https://stat.gov.pl/files/gfx/portalinformacyjny/pl/defaultstronaopisowa/6149/1/1/cudzoziemcy_na_krajowym_rynku_pracy_w_ujeciu_regionalnym-raport.pdf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http://www.migracje.uw.edu.pl/publikacje/nowe-obszary-docelowe-w-migracji-z-ukrainy-do-polski-przypadek-bydgoszczy-i-wroclawia-na-tle-innych-miast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https://population.un.org/wpp/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2024-01-03T20:00:00Z</dcterms:created>
  <dcterms:modified xsi:type="dcterms:W3CDTF">2024-01-12T15:12:00Z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